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FFFFFF"/>
        </w:rPr>
        <w:t>ANNUAL REPORT 2024</w:t>
      </w:r>
    </w:p>
    <w:p>
      <w:pPr>
        <w:sectPr>
          <w:pgSz w:w="11880" w:h="15480" w:orient="portrait"/>
          <w:cols w:equalWidth="0" w:num="1">
            <w:col w:w="9000"/>
          </w:cols>
          <w:pgMar w:left="1440" w:top="1440" w:right="1440" w:bottom="20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40"/>
        <w:spacing w:after="0"/>
        <w:rPr>
          <w:sz w:val="20"/>
          <w:szCs w:val="20"/>
          <w:color w:val="auto"/>
        </w:rPr>
      </w:pPr>
      <w:r>
        <w:rPr>
          <w:rFonts w:ascii="Arial" w:cs="Arial" w:eastAsia="Arial" w:hAnsi="Arial"/>
          <w:sz w:val="24"/>
          <w:szCs w:val="24"/>
          <w:color w:val="FFFFFF"/>
        </w:rPr>
        <w:t>Clean Harbors’ state-of-the-art</w:t>
      </w:r>
    </w:p>
    <w:p>
      <w:pPr>
        <w:jc w:val="center"/>
        <w:ind w:right="40"/>
        <w:spacing w:after="0"/>
        <w:rPr>
          <w:sz w:val="20"/>
          <w:szCs w:val="20"/>
          <w:color w:val="auto"/>
        </w:rPr>
      </w:pPr>
      <w:r>
        <w:rPr>
          <w:rFonts w:ascii="Arial" w:cs="Arial" w:eastAsia="Arial" w:hAnsi="Arial"/>
          <w:sz w:val="21"/>
          <w:szCs w:val="21"/>
          <w:color w:val="FFFFFF"/>
        </w:rPr>
        <w:t>incineration facility in Kimball, Nebraska</w:t>
      </w:r>
    </w:p>
    <w:p>
      <w:pPr>
        <w:sectPr>
          <w:pgSz w:w="11880" w:h="15480" w:orient="portrait"/>
          <w:cols w:equalWidth="0" w:num="1">
            <w:col w:w="9000"/>
          </w:cols>
          <w:pgMar w:left="1440" w:top="1440" w:right="1440" w:bottom="206" w:gutter="0" w:footer="0" w:header="0"/>
          <w:type w:val="continuous"/>
        </w:sectPr>
      </w:pPr>
    </w:p>
    <w:bookmarkStart w:id="1" w:name="page2"/>
    <w:bookmarkEnd w:id="1"/>
    <w:p>
      <w:pPr>
        <w:jc w:val="center"/>
        <w:ind w:right="120"/>
        <w:spacing w:after="0"/>
        <w:rPr>
          <w:sz w:val="20"/>
          <w:szCs w:val="20"/>
          <w:color w:val="auto"/>
        </w:rPr>
      </w:pPr>
      <w:r>
        <w:rPr>
          <w:rFonts w:ascii="Arial" w:cs="Arial" w:eastAsia="Arial" w:hAnsi="Arial"/>
          <w:sz w:val="45"/>
          <w:szCs w:val="45"/>
          <w:b w:val="1"/>
          <w:bCs w:val="1"/>
          <w:color w:val="FEFEFE"/>
        </w:rPr>
        <w:drawing>
          <wp:anchor simplePos="0" relativeHeight="251657728" behindDoc="1" locked="0" layoutInCell="0" allowOverlap="1">
            <wp:simplePos x="0" y="0"/>
            <wp:positionH relativeFrom="page">
              <wp:posOffset>0</wp:posOffset>
            </wp:positionH>
            <wp:positionV relativeFrom="page">
              <wp:posOffset>0</wp:posOffset>
            </wp:positionV>
            <wp:extent cx="7543800" cy="266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2660015"/>
                    </a:xfrm>
                    <a:prstGeom prst="rect">
                      <a:avLst/>
                    </a:prstGeom>
                    <a:noFill/>
                  </pic:spPr>
                </pic:pic>
              </a:graphicData>
            </a:graphic>
          </wp:anchor>
        </w:drawing>
        <w:t>2024 BY THE NUMBERS</w:t>
      </w:r>
    </w:p>
    <w:p>
      <w:pPr>
        <w:spacing w:after="0" w:line="200" w:lineRule="exact"/>
        <w:rPr>
          <w:sz w:val="20"/>
          <w:szCs w:val="20"/>
          <w:color w:val="auto"/>
        </w:rPr>
      </w:pPr>
    </w:p>
    <w:p>
      <w:pPr>
        <w:spacing w:after="0" w:line="257"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2420" w:type="dxa"/>
            <w:vAlign w:val="bottom"/>
            <w:vMerge w:val="restart"/>
          </w:tcPr>
          <w:p>
            <w:pPr>
              <w:jc w:val="center"/>
              <w:ind w:right="339"/>
              <w:spacing w:after="0"/>
              <w:rPr>
                <w:sz w:val="20"/>
                <w:szCs w:val="20"/>
                <w:color w:val="auto"/>
              </w:rPr>
            </w:pPr>
            <w:r>
              <w:rPr>
                <w:rFonts w:ascii="Arial" w:cs="Arial" w:eastAsia="Arial" w:hAnsi="Arial"/>
                <w:sz w:val="20"/>
                <w:szCs w:val="20"/>
                <w:color w:val="333333"/>
                <w:w w:val="76"/>
              </w:rPr>
              <w:t>REVENUE</w:t>
            </w:r>
          </w:p>
        </w:tc>
        <w:tc>
          <w:tcPr>
            <w:tcW w:w="3360" w:type="dxa"/>
            <w:vAlign w:val="bottom"/>
            <w:gridSpan w:val="2"/>
            <w:vMerge w:val="restart"/>
          </w:tcPr>
          <w:p>
            <w:pPr>
              <w:jc w:val="center"/>
              <w:ind w:left="650"/>
              <w:spacing w:after="0"/>
              <w:rPr>
                <w:sz w:val="20"/>
                <w:szCs w:val="20"/>
                <w:color w:val="auto"/>
              </w:rPr>
            </w:pPr>
            <w:r>
              <w:rPr>
                <w:rFonts w:ascii="Arial" w:cs="Arial" w:eastAsia="Arial" w:hAnsi="Arial"/>
                <w:sz w:val="19"/>
                <w:szCs w:val="19"/>
                <w:color w:val="333333"/>
                <w:w w:val="81"/>
              </w:rPr>
              <w:t>ADJUSTED EBITDA</w:t>
            </w:r>
          </w:p>
        </w:tc>
        <w:tc>
          <w:tcPr>
            <w:tcW w:w="3040" w:type="dxa"/>
            <w:vAlign w:val="bottom"/>
          </w:tcPr>
          <w:p>
            <w:pPr>
              <w:jc w:val="center"/>
              <w:ind w:left="1103"/>
              <w:spacing w:after="0"/>
              <w:rPr>
                <w:sz w:val="20"/>
                <w:szCs w:val="20"/>
                <w:color w:val="auto"/>
              </w:rPr>
            </w:pPr>
            <w:r>
              <w:rPr>
                <w:rFonts w:ascii="Arial" w:cs="Arial" w:eastAsia="Arial" w:hAnsi="Arial"/>
                <w:sz w:val="20"/>
                <w:szCs w:val="20"/>
                <w:color w:val="333333"/>
                <w:w w:val="75"/>
              </w:rPr>
              <w:t>ADJUSTED FREE</w:t>
            </w: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3360" w:type="dxa"/>
            <w:vAlign w:val="bottom"/>
            <w:gridSpan w:val="2"/>
            <w:vMerge w:val="continue"/>
          </w:tcPr>
          <w:p>
            <w:pPr>
              <w:spacing w:after="0"/>
              <w:rPr>
                <w:sz w:val="11"/>
                <w:szCs w:val="11"/>
                <w:color w:val="auto"/>
              </w:rPr>
            </w:pPr>
          </w:p>
        </w:tc>
        <w:tc>
          <w:tcPr>
            <w:tcW w:w="3040" w:type="dxa"/>
            <w:vAlign w:val="bottom"/>
          </w:tcPr>
          <w:p>
            <w:pPr>
              <w:jc w:val="center"/>
              <w:ind w:left="1143"/>
              <w:spacing w:after="0" w:line="133" w:lineRule="exact"/>
              <w:rPr>
                <w:sz w:val="20"/>
                <w:szCs w:val="20"/>
                <w:color w:val="auto"/>
              </w:rPr>
            </w:pPr>
            <w:r>
              <w:rPr>
                <w:rFonts w:ascii="Arial" w:cs="Arial" w:eastAsia="Arial" w:hAnsi="Arial"/>
                <w:sz w:val="15"/>
                <w:szCs w:val="15"/>
                <w:color w:val="333333"/>
              </w:rPr>
              <w:t>CASH FLOW</w:t>
            </w:r>
          </w:p>
        </w:tc>
        <w:tc>
          <w:tcPr>
            <w:tcW w:w="0" w:type="dxa"/>
            <w:vAlign w:val="bottom"/>
          </w:tcPr>
          <w:p>
            <w:pPr>
              <w:spacing w:after="0"/>
              <w:rPr>
                <w:sz w:val="1"/>
                <w:szCs w:val="1"/>
                <w:color w:val="auto"/>
              </w:rPr>
            </w:pPr>
          </w:p>
        </w:tc>
      </w:tr>
      <w:tr>
        <w:trPr>
          <w:trHeight w:val="586"/>
        </w:trPr>
        <w:tc>
          <w:tcPr>
            <w:tcW w:w="580" w:type="dxa"/>
            <w:vAlign w:val="bottom"/>
            <w:vMerge w:val="restart"/>
          </w:tcPr>
          <w:p>
            <w:pPr>
              <w:spacing w:after="0"/>
              <w:rPr>
                <w:sz w:val="20"/>
                <w:szCs w:val="20"/>
                <w:color w:val="auto"/>
              </w:rPr>
            </w:pPr>
            <w:r>
              <w:rPr>
                <w:rFonts w:ascii="Arial" w:cs="Arial" w:eastAsia="Arial" w:hAnsi="Arial"/>
                <w:sz w:val="12"/>
                <w:szCs w:val="12"/>
                <w:color w:val="FEFEFE"/>
              </w:rPr>
              <w:t>RECORD</w:t>
            </w:r>
          </w:p>
        </w:tc>
        <w:tc>
          <w:tcPr>
            <w:tcW w:w="2420" w:type="dxa"/>
            <w:vAlign w:val="bottom"/>
          </w:tcPr>
          <w:p>
            <w:pPr>
              <w:jc w:val="center"/>
              <w:ind w:right="339"/>
              <w:spacing w:after="0" w:line="584" w:lineRule="exact"/>
              <w:rPr>
                <w:sz w:val="20"/>
                <w:szCs w:val="20"/>
                <w:color w:val="auto"/>
              </w:rPr>
            </w:pPr>
            <w:r>
              <w:rPr>
                <w:rFonts w:ascii="Arial" w:cs="Arial" w:eastAsia="Arial" w:hAnsi="Arial"/>
                <w:sz w:val="50"/>
                <w:szCs w:val="50"/>
                <w:b w:val="1"/>
                <w:bCs w:val="1"/>
                <w:color w:val="C10014"/>
                <w:w w:val="83"/>
              </w:rPr>
              <w:t>$</w:t>
            </w:r>
            <w:r>
              <w:rPr>
                <w:rFonts w:ascii="Arial" w:cs="Arial" w:eastAsia="Arial" w:hAnsi="Arial"/>
                <w:sz w:val="58"/>
                <w:szCs w:val="58"/>
                <w:b w:val="1"/>
                <w:bCs w:val="1"/>
                <w:color w:val="C10014"/>
                <w:w w:val="83"/>
              </w:rPr>
              <w:t>5.9B</w:t>
            </w:r>
          </w:p>
        </w:tc>
        <w:tc>
          <w:tcPr>
            <w:tcW w:w="3360" w:type="dxa"/>
            <w:vAlign w:val="bottom"/>
            <w:gridSpan w:val="2"/>
          </w:tcPr>
          <w:p>
            <w:pPr>
              <w:jc w:val="center"/>
              <w:ind w:left="650"/>
              <w:spacing w:after="0" w:line="585" w:lineRule="exact"/>
              <w:rPr>
                <w:sz w:val="20"/>
                <w:szCs w:val="20"/>
                <w:color w:val="auto"/>
              </w:rPr>
            </w:pPr>
            <w:r>
              <w:rPr>
                <w:rFonts w:ascii="Arial" w:cs="Arial" w:eastAsia="Arial" w:hAnsi="Arial"/>
                <w:sz w:val="47"/>
                <w:szCs w:val="47"/>
                <w:b w:val="1"/>
                <w:bCs w:val="1"/>
                <w:color w:val="C10014"/>
                <w:w w:val="71"/>
              </w:rPr>
              <w:t>$</w:t>
            </w:r>
            <w:r>
              <w:rPr>
                <w:rFonts w:ascii="Arial" w:cs="Arial" w:eastAsia="Arial" w:hAnsi="Arial"/>
                <w:sz w:val="56"/>
                <w:szCs w:val="56"/>
                <w:b w:val="1"/>
                <w:bCs w:val="1"/>
                <w:color w:val="C10014"/>
                <w:w w:val="71"/>
              </w:rPr>
              <w:t>1.12B</w:t>
            </w:r>
          </w:p>
        </w:tc>
        <w:tc>
          <w:tcPr>
            <w:tcW w:w="3040" w:type="dxa"/>
            <w:vAlign w:val="bottom"/>
          </w:tcPr>
          <w:p>
            <w:pPr>
              <w:ind w:left="600"/>
              <w:spacing w:after="0" w:line="585" w:lineRule="exact"/>
              <w:rPr>
                <w:sz w:val="20"/>
                <w:szCs w:val="20"/>
                <w:color w:val="auto"/>
              </w:rPr>
            </w:pPr>
            <w:r>
              <w:rPr>
                <w:rFonts w:ascii="Arial" w:cs="Arial" w:eastAsia="Arial" w:hAnsi="Arial"/>
                <w:sz w:val="14"/>
                <w:szCs w:val="14"/>
                <w:b w:val="1"/>
                <w:bCs w:val="1"/>
                <w:color w:val="333333"/>
                <w:highlight w:val="white"/>
                <w:w w:val="91"/>
              </w:rPr>
              <w:t xml:space="preserve">$ </w:t>
            </w:r>
            <w:r>
              <w:rPr>
                <w:rFonts w:ascii="Arial" w:cs="Arial" w:eastAsia="Arial" w:hAnsi="Arial"/>
                <w:sz w:val="18"/>
                <w:szCs w:val="18"/>
                <w:b w:val="1"/>
                <w:bCs w:val="1"/>
                <w:color w:val="333333"/>
                <w:highlight w:val="white"/>
                <w:w w:val="91"/>
              </w:rPr>
              <w:t>$</w:t>
            </w:r>
            <w:r>
              <w:rPr>
                <w:rFonts w:ascii="Arial" w:cs="Arial" w:eastAsia="Arial" w:hAnsi="Arial"/>
                <w:sz w:val="14"/>
                <w:szCs w:val="14"/>
                <w:b w:val="1"/>
                <w:bCs w:val="1"/>
                <w:color w:val="333333"/>
                <w:highlight w:val="white"/>
                <w:w w:val="91"/>
              </w:rPr>
              <w:t xml:space="preserve"> $</w:t>
            </w:r>
            <w:r>
              <w:rPr>
                <w:rFonts w:ascii="Arial" w:cs="Arial" w:eastAsia="Arial" w:hAnsi="Arial"/>
                <w:sz w:val="45"/>
                <w:szCs w:val="45"/>
                <w:b w:val="1"/>
                <w:bCs w:val="1"/>
                <w:color w:val="C10014"/>
                <w:w w:val="91"/>
              </w:rPr>
              <w:t>$</w:t>
            </w:r>
            <w:r>
              <w:rPr>
                <w:rFonts w:ascii="Arial" w:cs="Arial" w:eastAsia="Arial" w:hAnsi="Arial"/>
                <w:sz w:val="54"/>
                <w:szCs w:val="54"/>
                <w:b w:val="1"/>
                <w:bCs w:val="1"/>
                <w:color w:val="C10014"/>
                <w:w w:val="91"/>
              </w:rPr>
              <w:t>358M</w:t>
            </w:r>
          </w:p>
        </w:tc>
        <w:tc>
          <w:tcPr>
            <w:tcW w:w="0" w:type="dxa"/>
            <w:vAlign w:val="bottom"/>
          </w:tcPr>
          <w:p>
            <w:pPr>
              <w:spacing w:after="0"/>
              <w:rPr>
                <w:sz w:val="1"/>
                <w:szCs w:val="1"/>
                <w:color w:val="auto"/>
              </w:rPr>
            </w:pPr>
          </w:p>
        </w:tc>
      </w:tr>
      <w:tr>
        <w:trPr>
          <w:trHeight w:val="197"/>
        </w:trPr>
        <w:tc>
          <w:tcPr>
            <w:tcW w:w="580" w:type="dxa"/>
            <w:vAlign w:val="bottom"/>
            <w:vMerge w:val="continue"/>
          </w:tcPr>
          <w:p>
            <w:pPr>
              <w:spacing w:after="0"/>
              <w:rPr>
                <w:sz w:val="17"/>
                <w:szCs w:val="17"/>
                <w:color w:val="auto"/>
              </w:rPr>
            </w:pPr>
          </w:p>
        </w:tc>
        <w:tc>
          <w:tcPr>
            <w:tcW w:w="2420" w:type="dxa"/>
            <w:vAlign w:val="bottom"/>
          </w:tcPr>
          <w:p>
            <w:pPr>
              <w:jc w:val="center"/>
              <w:ind w:right="339"/>
              <w:spacing w:after="0"/>
              <w:rPr>
                <w:sz w:val="20"/>
                <w:szCs w:val="20"/>
                <w:color w:val="auto"/>
              </w:rPr>
            </w:pPr>
            <w:r>
              <w:rPr>
                <w:rFonts w:ascii="Arial" w:cs="Arial" w:eastAsia="Arial" w:hAnsi="Arial"/>
                <w:sz w:val="15"/>
                <w:szCs w:val="15"/>
                <w:color w:val="333333"/>
                <w:w w:val="93"/>
              </w:rPr>
              <w:t>Highest in Company History</w:t>
            </w:r>
          </w:p>
        </w:tc>
        <w:tc>
          <w:tcPr>
            <w:tcW w:w="3360" w:type="dxa"/>
            <w:vAlign w:val="bottom"/>
            <w:gridSpan w:val="2"/>
          </w:tcPr>
          <w:p>
            <w:pPr>
              <w:jc w:val="center"/>
              <w:spacing w:after="0"/>
              <w:rPr>
                <w:sz w:val="20"/>
                <w:szCs w:val="20"/>
                <w:color w:val="auto"/>
              </w:rPr>
            </w:pPr>
            <w:r>
              <w:rPr>
                <w:rFonts w:ascii="Arial" w:cs="Arial" w:eastAsia="Arial" w:hAnsi="Arial"/>
                <w:sz w:val="12"/>
                <w:szCs w:val="12"/>
                <w:color w:val="FEFEFE"/>
                <w:w w:val="89"/>
              </w:rPr>
              <w:t>RECORD</w:t>
            </w:r>
            <w:r>
              <w:rPr>
                <w:rFonts w:ascii="Arial" w:cs="Arial" w:eastAsia="Arial" w:hAnsi="Arial"/>
                <w:sz w:val="15"/>
                <w:szCs w:val="15"/>
                <w:color w:val="333333"/>
                <w:w w:val="89"/>
              </w:rPr>
              <w:t>Most in a Single Year</w:t>
            </w:r>
          </w:p>
        </w:tc>
        <w:tc>
          <w:tcPr>
            <w:tcW w:w="3040" w:type="dxa"/>
            <w:vAlign w:val="bottom"/>
          </w:tcPr>
          <w:p>
            <w:pPr>
              <w:ind w:left="600"/>
              <w:spacing w:after="0"/>
              <w:rPr>
                <w:sz w:val="20"/>
                <w:szCs w:val="20"/>
                <w:color w:val="auto"/>
              </w:rPr>
            </w:pPr>
            <w:r>
              <w:rPr>
                <w:rFonts w:ascii="Arial" w:cs="Arial" w:eastAsia="Arial" w:hAnsi="Arial"/>
                <w:sz w:val="12"/>
                <w:szCs w:val="12"/>
                <w:color w:val="FEFEFE"/>
                <w:w w:val="96"/>
              </w:rPr>
              <w:t xml:space="preserve">RECORD    </w:t>
            </w:r>
            <w:r>
              <w:rPr>
                <w:rFonts w:ascii="Arial" w:cs="Arial" w:eastAsia="Arial" w:hAnsi="Arial"/>
                <w:sz w:val="15"/>
                <w:szCs w:val="15"/>
                <w:color w:val="333333"/>
                <w:w w:val="96"/>
              </w:rPr>
              <w:t>Highest in Company History</w:t>
            </w:r>
          </w:p>
        </w:tc>
        <w:tc>
          <w:tcPr>
            <w:tcW w:w="0" w:type="dxa"/>
            <w:vAlign w:val="bottom"/>
          </w:tcPr>
          <w:p>
            <w:pPr>
              <w:spacing w:after="0"/>
              <w:rPr>
                <w:sz w:val="1"/>
                <w:szCs w:val="1"/>
                <w:color w:val="auto"/>
              </w:rPr>
            </w:pPr>
          </w:p>
        </w:tc>
      </w:tr>
      <w:tr>
        <w:trPr>
          <w:trHeight w:val="430"/>
        </w:trPr>
        <w:tc>
          <w:tcPr>
            <w:tcW w:w="580" w:type="dxa"/>
            <w:vAlign w:val="bottom"/>
          </w:tcPr>
          <w:p>
            <w:pPr>
              <w:spacing w:after="0"/>
              <w:rPr>
                <w:sz w:val="24"/>
                <w:szCs w:val="24"/>
                <w:color w:val="auto"/>
              </w:rPr>
            </w:pPr>
          </w:p>
        </w:tc>
        <w:tc>
          <w:tcPr>
            <w:tcW w:w="2420" w:type="dxa"/>
            <w:vAlign w:val="bottom"/>
            <w:vMerge w:val="restart"/>
          </w:tcPr>
          <w:p>
            <w:pPr>
              <w:jc w:val="center"/>
              <w:ind w:right="219"/>
              <w:spacing w:after="0"/>
              <w:rPr>
                <w:sz w:val="20"/>
                <w:szCs w:val="20"/>
                <w:color w:val="auto"/>
              </w:rPr>
            </w:pPr>
            <w:r>
              <w:rPr>
                <w:rFonts w:ascii="Arial" w:cs="Arial" w:eastAsia="Arial" w:hAnsi="Arial"/>
                <w:sz w:val="20"/>
                <w:szCs w:val="20"/>
                <w:color w:val="333333"/>
                <w:w w:val="79"/>
              </w:rPr>
              <w:t>SAFETY</w:t>
            </w:r>
          </w:p>
        </w:tc>
        <w:tc>
          <w:tcPr>
            <w:tcW w:w="3360" w:type="dxa"/>
            <w:vAlign w:val="bottom"/>
            <w:gridSpan w:val="2"/>
          </w:tcPr>
          <w:p>
            <w:pPr>
              <w:jc w:val="center"/>
              <w:ind w:left="630"/>
              <w:spacing w:after="0"/>
              <w:rPr>
                <w:sz w:val="20"/>
                <w:szCs w:val="20"/>
                <w:color w:val="auto"/>
              </w:rPr>
            </w:pPr>
            <w:r>
              <w:rPr>
                <w:rFonts w:ascii="Arial" w:cs="Arial" w:eastAsia="Arial" w:hAnsi="Arial"/>
                <w:sz w:val="20"/>
                <w:szCs w:val="20"/>
                <w:color w:val="333333"/>
                <w:w w:val="80"/>
              </w:rPr>
              <w:t>EMERGENCY</w:t>
            </w:r>
          </w:p>
        </w:tc>
        <w:tc>
          <w:tcPr>
            <w:tcW w:w="3040" w:type="dxa"/>
            <w:vAlign w:val="bottom"/>
            <w:vMerge w:val="restart"/>
          </w:tcPr>
          <w:p>
            <w:pPr>
              <w:jc w:val="center"/>
              <w:ind w:left="1183"/>
              <w:spacing w:after="0"/>
              <w:rPr>
                <w:sz w:val="20"/>
                <w:szCs w:val="20"/>
                <w:color w:val="auto"/>
              </w:rPr>
            </w:pPr>
            <w:r>
              <w:rPr>
                <w:rFonts w:ascii="Arial" w:cs="Arial" w:eastAsia="Arial" w:hAnsi="Arial"/>
                <w:sz w:val="20"/>
                <w:szCs w:val="20"/>
                <w:color w:val="333333"/>
                <w:w w:val="86"/>
              </w:rPr>
              <w:t>INCINERATION</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3360" w:type="dxa"/>
            <w:vAlign w:val="bottom"/>
            <w:gridSpan w:val="2"/>
          </w:tcPr>
          <w:p>
            <w:pPr>
              <w:jc w:val="center"/>
              <w:ind w:left="630"/>
              <w:spacing w:after="0" w:line="171" w:lineRule="exact"/>
              <w:rPr>
                <w:sz w:val="20"/>
                <w:szCs w:val="20"/>
                <w:color w:val="auto"/>
              </w:rPr>
            </w:pPr>
            <w:r>
              <w:rPr>
                <w:rFonts w:ascii="Arial" w:cs="Arial" w:eastAsia="Arial" w:hAnsi="Arial"/>
                <w:sz w:val="19"/>
                <w:szCs w:val="19"/>
                <w:color w:val="333333"/>
                <w:w w:val="79"/>
              </w:rPr>
              <w:t>RESPONSE</w:t>
            </w:r>
          </w:p>
        </w:tc>
        <w:tc>
          <w:tcPr>
            <w:tcW w:w="3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80" w:type="dxa"/>
            <w:vAlign w:val="bottom"/>
          </w:tcPr>
          <w:p>
            <w:pPr>
              <w:spacing w:after="0"/>
              <w:rPr>
                <w:sz w:val="9"/>
                <w:szCs w:val="9"/>
                <w:color w:val="auto"/>
              </w:rPr>
            </w:pPr>
          </w:p>
        </w:tc>
        <w:tc>
          <w:tcPr>
            <w:tcW w:w="2420" w:type="dxa"/>
            <w:vAlign w:val="bottom"/>
          </w:tcPr>
          <w:p>
            <w:pPr>
              <w:jc w:val="center"/>
              <w:ind w:right="279"/>
              <w:spacing w:after="0" w:line="111" w:lineRule="exact"/>
              <w:rPr>
                <w:sz w:val="20"/>
                <w:szCs w:val="20"/>
                <w:color w:val="auto"/>
              </w:rPr>
            </w:pPr>
            <w:r>
              <w:rPr>
                <w:rFonts w:ascii="Arial" w:cs="Arial" w:eastAsia="Arial" w:hAnsi="Arial"/>
                <w:sz w:val="12"/>
                <w:szCs w:val="12"/>
                <w:b w:val="1"/>
                <w:bCs w:val="1"/>
                <w:color w:val="C10014"/>
              </w:rPr>
              <w:t>TRIR 0.61</w:t>
            </w:r>
          </w:p>
        </w:tc>
        <w:tc>
          <w:tcPr>
            <w:tcW w:w="1800" w:type="dxa"/>
            <w:vAlign w:val="bottom"/>
          </w:tcPr>
          <w:p>
            <w:pPr>
              <w:jc w:val="center"/>
              <w:ind w:left="1230"/>
              <w:spacing w:after="0" w:line="111" w:lineRule="exact"/>
              <w:rPr>
                <w:sz w:val="20"/>
                <w:szCs w:val="20"/>
                <w:color w:val="auto"/>
              </w:rPr>
            </w:pPr>
            <w:r>
              <w:rPr>
                <w:rFonts w:ascii="Arial" w:cs="Arial" w:eastAsia="Arial" w:hAnsi="Arial"/>
                <w:sz w:val="12"/>
                <w:szCs w:val="12"/>
                <w:b w:val="1"/>
                <w:bCs w:val="1"/>
                <w:u w:val="single" w:color="auto"/>
                <w:color w:val="C10014"/>
              </w:rPr>
              <w:t>THAN</w:t>
            </w:r>
          </w:p>
        </w:tc>
        <w:tc>
          <w:tcPr>
            <w:tcW w:w="1560" w:type="dxa"/>
            <w:vAlign w:val="bottom"/>
            <w:vMerge w:val="restart"/>
          </w:tcPr>
          <w:p>
            <w:pPr>
              <w:ind w:left="20"/>
              <w:spacing w:after="0" w:line="560" w:lineRule="exact"/>
              <w:rPr>
                <w:sz w:val="20"/>
                <w:szCs w:val="20"/>
                <w:color w:val="auto"/>
              </w:rPr>
            </w:pPr>
            <w:r>
              <w:rPr>
                <w:rFonts w:ascii="Arial" w:cs="Arial" w:eastAsia="Arial" w:hAnsi="Arial"/>
                <w:sz w:val="57"/>
                <w:szCs w:val="57"/>
                <w:b w:val="1"/>
                <w:bCs w:val="1"/>
                <w:color w:val="C10014"/>
              </w:rPr>
              <w:t>20K</w:t>
            </w:r>
          </w:p>
        </w:tc>
        <w:tc>
          <w:tcPr>
            <w:tcW w:w="3040" w:type="dxa"/>
            <w:vAlign w:val="bottom"/>
          </w:tcPr>
          <w:p>
            <w:pPr>
              <w:jc w:val="center"/>
              <w:ind w:left="1203"/>
              <w:spacing w:after="0" w:line="111" w:lineRule="exact"/>
              <w:rPr>
                <w:sz w:val="20"/>
                <w:szCs w:val="20"/>
                <w:color w:val="auto"/>
              </w:rPr>
            </w:pPr>
            <w:r>
              <w:rPr>
                <w:rFonts w:ascii="Arial" w:cs="Arial" w:eastAsia="Arial" w:hAnsi="Arial"/>
                <w:sz w:val="12"/>
                <w:szCs w:val="12"/>
                <w:b w:val="1"/>
                <w:bCs w:val="1"/>
                <w:color w:val="C10014"/>
              </w:rPr>
              <w:t>MORE THAN</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2420" w:type="dxa"/>
            <w:vAlign w:val="bottom"/>
          </w:tcPr>
          <w:p>
            <w:pPr>
              <w:jc w:val="right"/>
              <w:ind w:right="399"/>
              <w:spacing w:after="0" w:line="207" w:lineRule="exact"/>
              <w:rPr>
                <w:sz w:val="20"/>
                <w:szCs w:val="20"/>
                <w:color w:val="auto"/>
              </w:rPr>
            </w:pPr>
            <w:r>
              <w:rPr>
                <w:rFonts w:ascii="Arial" w:cs="Arial" w:eastAsia="Arial" w:hAnsi="Arial"/>
                <w:sz w:val="20"/>
                <w:szCs w:val="20"/>
                <w:b w:val="1"/>
                <w:bCs w:val="1"/>
                <w:color w:val="C10014"/>
              </w:rPr>
              <w:t>*</w:t>
            </w:r>
          </w:p>
        </w:tc>
        <w:tc>
          <w:tcPr>
            <w:tcW w:w="1800" w:type="dxa"/>
            <w:vAlign w:val="bottom"/>
          </w:tcPr>
          <w:p>
            <w:pPr>
              <w:jc w:val="center"/>
              <w:ind w:left="1250"/>
              <w:spacing w:after="0" w:line="206" w:lineRule="exact"/>
              <w:rPr>
                <w:sz w:val="20"/>
                <w:szCs w:val="20"/>
                <w:color w:val="auto"/>
              </w:rPr>
            </w:pPr>
            <w:r>
              <w:rPr>
                <w:rFonts w:ascii="Arial" w:cs="Arial" w:eastAsia="Arial" w:hAnsi="Arial"/>
                <w:sz w:val="18"/>
                <w:szCs w:val="18"/>
                <w:b w:val="1"/>
                <w:bCs w:val="1"/>
                <w:color w:val="C10014"/>
                <w:w w:val="85"/>
              </w:rPr>
              <w:t>MORE</w:t>
            </w:r>
          </w:p>
        </w:tc>
        <w:tc>
          <w:tcPr>
            <w:tcW w:w="156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2420" w:type="dxa"/>
            <w:vAlign w:val="bottom"/>
          </w:tcPr>
          <w:p>
            <w:pPr>
              <w:jc w:val="center"/>
              <w:ind w:right="199"/>
              <w:spacing w:after="0"/>
              <w:rPr>
                <w:sz w:val="20"/>
                <w:szCs w:val="20"/>
                <w:color w:val="auto"/>
              </w:rPr>
            </w:pPr>
            <w:r>
              <w:rPr>
                <w:rFonts w:ascii="Arial" w:cs="Arial" w:eastAsia="Arial" w:hAnsi="Arial"/>
                <w:sz w:val="15"/>
                <w:szCs w:val="15"/>
                <w:color w:val="333333"/>
                <w:w w:val="92"/>
              </w:rPr>
              <w:t>Lowest in Company History</w:t>
            </w:r>
          </w:p>
        </w:tc>
        <w:tc>
          <w:tcPr>
            <w:tcW w:w="180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3040" w:type="dxa"/>
            <w:vAlign w:val="bottom"/>
            <w:vMerge w:val="restart"/>
          </w:tcPr>
          <w:p>
            <w:pPr>
              <w:ind w:left="1340"/>
              <w:spacing w:after="0"/>
              <w:rPr>
                <w:sz w:val="20"/>
                <w:szCs w:val="20"/>
                <w:color w:val="auto"/>
              </w:rPr>
            </w:pPr>
            <w:r>
              <w:rPr>
                <w:rFonts w:ascii="Arial" w:cs="Arial" w:eastAsia="Arial" w:hAnsi="Arial"/>
                <w:sz w:val="36"/>
                <w:szCs w:val="36"/>
                <w:b w:val="1"/>
                <w:bCs w:val="1"/>
                <w:color w:val="C10014"/>
                <w:w w:val="85"/>
              </w:rPr>
              <w:t>492K TONS</w:t>
            </w:r>
          </w:p>
        </w:tc>
        <w:tc>
          <w:tcPr>
            <w:tcW w:w="0" w:type="dxa"/>
            <w:vAlign w:val="bottom"/>
          </w:tcPr>
          <w:p>
            <w:pPr>
              <w:spacing w:after="0"/>
              <w:rPr>
                <w:sz w:val="1"/>
                <w:szCs w:val="1"/>
                <w:color w:val="auto"/>
              </w:rPr>
            </w:pPr>
          </w:p>
        </w:tc>
      </w:tr>
      <w:tr>
        <w:trPr>
          <w:trHeight w:val="206"/>
        </w:trPr>
        <w:tc>
          <w:tcPr>
            <w:tcW w:w="580" w:type="dxa"/>
            <w:vAlign w:val="bottom"/>
          </w:tcPr>
          <w:p>
            <w:pPr>
              <w:ind w:left="20"/>
              <w:spacing w:after="0"/>
              <w:rPr>
                <w:sz w:val="20"/>
                <w:szCs w:val="20"/>
                <w:color w:val="auto"/>
              </w:rPr>
            </w:pPr>
            <w:r>
              <w:rPr>
                <w:rFonts w:ascii="Arial" w:cs="Arial" w:eastAsia="Arial" w:hAnsi="Arial"/>
                <w:sz w:val="12"/>
                <w:szCs w:val="12"/>
                <w:color w:val="FEFEFE"/>
              </w:rPr>
              <w:t>RECORD</w:t>
            </w:r>
          </w:p>
        </w:tc>
        <w:tc>
          <w:tcPr>
            <w:tcW w:w="2420" w:type="dxa"/>
            <w:vAlign w:val="bottom"/>
          </w:tcPr>
          <w:p>
            <w:pPr>
              <w:jc w:val="center"/>
              <w:ind w:right="199"/>
              <w:spacing w:after="0"/>
              <w:rPr>
                <w:sz w:val="20"/>
                <w:szCs w:val="20"/>
                <w:color w:val="auto"/>
              </w:rPr>
            </w:pPr>
            <w:r>
              <w:rPr>
                <w:rFonts w:ascii="Arial" w:cs="Arial" w:eastAsia="Arial" w:hAnsi="Arial"/>
                <w:sz w:val="9"/>
                <w:szCs w:val="9"/>
                <w:i w:val="1"/>
                <w:iCs w:val="1"/>
                <w:color w:val="333333"/>
                <w:w w:val="92"/>
              </w:rPr>
              <w:t>*Adjusted for acquisitions.</w:t>
            </w:r>
          </w:p>
        </w:tc>
        <w:tc>
          <w:tcPr>
            <w:tcW w:w="3360" w:type="dxa"/>
            <w:vAlign w:val="bottom"/>
            <w:gridSpan w:val="2"/>
          </w:tcPr>
          <w:p>
            <w:pPr>
              <w:jc w:val="center"/>
              <w:ind w:left="630"/>
              <w:spacing w:after="0" w:line="206" w:lineRule="exact"/>
              <w:rPr>
                <w:sz w:val="20"/>
                <w:szCs w:val="20"/>
                <w:color w:val="auto"/>
              </w:rPr>
            </w:pPr>
            <w:r>
              <w:rPr>
                <w:rFonts w:ascii="Arial" w:cs="Arial" w:eastAsia="Arial" w:hAnsi="Arial"/>
                <w:sz w:val="18"/>
                <w:szCs w:val="18"/>
                <w:b w:val="1"/>
                <w:bCs w:val="1"/>
                <w:color w:val="C10014"/>
                <w:w w:val="82"/>
              </w:rPr>
              <w:t>EVENTS MANAGED</w:t>
            </w:r>
          </w:p>
        </w:tc>
        <w:tc>
          <w:tcPr>
            <w:tcW w:w="3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4"/>
          <w:szCs w:val="24"/>
          <w:b w:val="1"/>
          <w:bCs w:val="1"/>
          <w:color w:val="C10014"/>
        </w:rPr>
        <w:t>A TOTAL SOLUTION FOR THE FUTURE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00" w:type="dxa"/>
            <w:vAlign w:val="bottom"/>
            <w:gridSpan w:val="15"/>
          </w:tcPr>
          <w:p>
            <w:pPr>
              <w:spacing w:after="0"/>
              <w:rPr>
                <w:sz w:val="20"/>
                <w:szCs w:val="20"/>
                <w:color w:val="auto"/>
              </w:rPr>
            </w:pPr>
            <w:r>
              <w:rPr>
                <w:rFonts w:ascii="Arial" w:cs="Arial" w:eastAsia="Arial" w:hAnsi="Arial"/>
                <w:sz w:val="20"/>
                <w:szCs w:val="20"/>
                <w:color w:val="333333"/>
              </w:rPr>
              <w:t>Clean Harbors continues to be extraordinary year after year</w:t>
            </w:r>
          </w:p>
        </w:tc>
        <w:tc>
          <w:tcPr>
            <w:tcW w:w="5260" w:type="dxa"/>
            <w:vAlign w:val="bottom"/>
            <w:gridSpan w:val="3"/>
          </w:tcPr>
          <w:p>
            <w:pPr>
              <w:jc w:val="center"/>
              <w:ind w:right="100"/>
              <w:spacing w:after="0"/>
              <w:rPr>
                <w:sz w:val="20"/>
                <w:szCs w:val="20"/>
                <w:color w:val="auto"/>
              </w:rPr>
            </w:pPr>
            <w:r>
              <w:rPr>
                <w:rFonts w:ascii="Arial" w:cs="Arial" w:eastAsia="Arial" w:hAnsi="Arial"/>
                <w:sz w:val="20"/>
                <w:szCs w:val="20"/>
                <w:color w:val="333333"/>
                <w:w w:val="94"/>
              </w:rPr>
              <w:t>ability to eliminate PFAS at a 99.9999% level of destruction.</w:t>
            </w:r>
          </w:p>
        </w:tc>
        <w:tc>
          <w:tcPr>
            <w:tcW w:w="0" w:type="dxa"/>
            <w:vAlign w:val="bottom"/>
          </w:tcPr>
          <w:p>
            <w:pPr>
              <w:spacing w:after="0"/>
              <w:rPr>
                <w:sz w:val="1"/>
                <w:szCs w:val="1"/>
                <w:color w:val="auto"/>
              </w:rPr>
            </w:pPr>
          </w:p>
        </w:tc>
      </w:tr>
      <w:tr>
        <w:trPr>
          <w:trHeight w:val="240"/>
        </w:trPr>
        <w:tc>
          <w:tcPr>
            <w:tcW w:w="5500" w:type="dxa"/>
            <w:vAlign w:val="bottom"/>
            <w:gridSpan w:val="15"/>
          </w:tcPr>
          <w:p>
            <w:pPr>
              <w:spacing w:after="0"/>
              <w:rPr>
                <w:sz w:val="20"/>
                <w:szCs w:val="20"/>
                <w:color w:val="auto"/>
              </w:rPr>
            </w:pPr>
            <w:r>
              <w:rPr>
                <w:rFonts w:ascii="Arial" w:cs="Arial" w:eastAsia="Arial" w:hAnsi="Arial"/>
                <w:sz w:val="20"/>
                <w:szCs w:val="20"/>
                <w:color w:val="333333"/>
              </w:rPr>
              <w:t>because of our employees—the people who work hard to</w:t>
            </w:r>
          </w:p>
        </w:tc>
        <w:tc>
          <w:tcPr>
            <w:tcW w:w="5260" w:type="dxa"/>
            <w:vAlign w:val="bottom"/>
            <w:gridSpan w:val="3"/>
          </w:tcPr>
          <w:p>
            <w:pPr>
              <w:jc w:val="center"/>
              <w:ind w:right="100"/>
              <w:spacing w:after="0"/>
              <w:rPr>
                <w:sz w:val="20"/>
                <w:szCs w:val="20"/>
                <w:color w:val="auto"/>
              </w:rPr>
            </w:pPr>
            <w:r>
              <w:rPr>
                <w:rFonts w:ascii="Arial" w:cs="Arial" w:eastAsia="Arial" w:hAnsi="Arial"/>
                <w:sz w:val="20"/>
                <w:szCs w:val="20"/>
                <w:color w:val="333333"/>
                <w:w w:val="93"/>
              </w:rPr>
              <w:t>We sample, analyze, transport, remediate and destroy PFAS</w:t>
            </w:r>
          </w:p>
        </w:tc>
        <w:tc>
          <w:tcPr>
            <w:tcW w:w="0" w:type="dxa"/>
            <w:vAlign w:val="bottom"/>
          </w:tcPr>
          <w:p>
            <w:pPr>
              <w:spacing w:after="0"/>
              <w:rPr>
                <w:sz w:val="1"/>
                <w:szCs w:val="1"/>
                <w:color w:val="auto"/>
              </w:rPr>
            </w:pPr>
          </w:p>
        </w:tc>
      </w:tr>
      <w:tr>
        <w:trPr>
          <w:trHeight w:val="240"/>
        </w:trPr>
        <w:tc>
          <w:tcPr>
            <w:tcW w:w="5500" w:type="dxa"/>
            <w:vAlign w:val="bottom"/>
            <w:gridSpan w:val="15"/>
          </w:tcPr>
          <w:p>
            <w:pPr>
              <w:spacing w:after="0"/>
              <w:rPr>
                <w:sz w:val="20"/>
                <w:szCs w:val="20"/>
                <w:color w:val="auto"/>
              </w:rPr>
            </w:pPr>
            <w:r>
              <w:rPr>
                <w:rFonts w:ascii="Arial" w:cs="Arial" w:eastAsia="Arial" w:hAnsi="Arial"/>
                <w:sz w:val="20"/>
                <w:szCs w:val="20"/>
                <w:color w:val="333333"/>
              </w:rPr>
              <w:t>build relationships with customers and each other and arrive</w:t>
            </w:r>
          </w:p>
        </w:tc>
        <w:tc>
          <w:tcPr>
            <w:tcW w:w="5260" w:type="dxa"/>
            <w:vAlign w:val="bottom"/>
            <w:gridSpan w:val="3"/>
          </w:tcPr>
          <w:p>
            <w:pPr>
              <w:jc w:val="right"/>
              <w:ind w:right="260"/>
              <w:spacing w:after="0"/>
              <w:rPr>
                <w:sz w:val="20"/>
                <w:szCs w:val="20"/>
                <w:color w:val="auto"/>
              </w:rPr>
            </w:pPr>
            <w:r>
              <w:rPr>
                <w:rFonts w:ascii="Arial" w:cs="Arial" w:eastAsia="Arial" w:hAnsi="Arial"/>
                <w:sz w:val="20"/>
                <w:szCs w:val="20"/>
                <w:color w:val="333333"/>
                <w:w w:val="96"/>
              </w:rPr>
              <w:t>using our extensive North American network. We provide</w:t>
            </w:r>
          </w:p>
        </w:tc>
        <w:tc>
          <w:tcPr>
            <w:tcW w:w="0" w:type="dxa"/>
            <w:vAlign w:val="bottom"/>
          </w:tcPr>
          <w:p>
            <w:pPr>
              <w:spacing w:after="0"/>
              <w:rPr>
                <w:sz w:val="1"/>
                <w:szCs w:val="1"/>
                <w:color w:val="auto"/>
              </w:rPr>
            </w:pPr>
          </w:p>
        </w:tc>
      </w:tr>
      <w:tr>
        <w:trPr>
          <w:trHeight w:val="240"/>
        </w:trPr>
        <w:tc>
          <w:tcPr>
            <w:tcW w:w="4480" w:type="dxa"/>
            <w:vAlign w:val="bottom"/>
            <w:gridSpan w:val="12"/>
          </w:tcPr>
          <w:p>
            <w:pPr>
              <w:spacing w:after="0"/>
              <w:rPr>
                <w:sz w:val="20"/>
                <w:szCs w:val="20"/>
                <w:color w:val="auto"/>
              </w:rPr>
            </w:pPr>
            <w:r>
              <w:rPr>
                <w:rFonts w:ascii="Arial" w:cs="Arial" w:eastAsia="Arial" w:hAnsi="Arial"/>
                <w:sz w:val="20"/>
                <w:szCs w:val="20"/>
                <w:color w:val="333333"/>
              </w:rPr>
              <w:t>at work every day with a safety-first mindset.</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gridSpan w:val="2"/>
          </w:tcPr>
          <w:p>
            <w:pPr>
              <w:jc w:val="right"/>
              <w:ind w:right="240"/>
              <w:spacing w:after="0"/>
              <w:rPr>
                <w:sz w:val="20"/>
                <w:szCs w:val="20"/>
                <w:color w:val="auto"/>
              </w:rPr>
            </w:pPr>
            <w:r>
              <w:rPr>
                <w:rFonts w:ascii="Arial" w:cs="Arial" w:eastAsia="Arial" w:hAnsi="Arial"/>
                <w:sz w:val="20"/>
                <w:szCs w:val="20"/>
                <w:color w:val="333333"/>
              </w:rPr>
              <w:t>long-term solutions for these forever chemicals so</w:t>
            </w:r>
          </w:p>
        </w:tc>
        <w:tc>
          <w:tcPr>
            <w:tcW w:w="0" w:type="dxa"/>
            <w:vAlign w:val="bottom"/>
          </w:tcPr>
          <w:p>
            <w:pPr>
              <w:spacing w:after="0"/>
              <w:rPr>
                <w:sz w:val="1"/>
                <w:szCs w:val="1"/>
                <w:color w:val="auto"/>
              </w:rPr>
            </w:pPr>
          </w:p>
        </w:tc>
      </w:tr>
      <w:tr>
        <w:trPr>
          <w:trHeight w:val="240"/>
        </w:trPr>
        <w:tc>
          <w:tcPr>
            <w:tcW w:w="4480" w:type="dxa"/>
            <w:vAlign w:val="bottom"/>
            <w:gridSpan w:val="12"/>
          </w:tcPr>
          <w:p>
            <w:pPr>
              <w:spacing w:after="0"/>
              <w:rPr>
                <w:sz w:val="20"/>
                <w:szCs w:val="20"/>
                <w:color w:val="auto"/>
              </w:rPr>
            </w:pPr>
            <w:r>
              <w:rPr>
                <w:rFonts w:ascii="Arial" w:cs="Arial" w:eastAsia="Arial" w:hAnsi="Arial"/>
                <w:sz w:val="20"/>
                <w:szCs w:val="20"/>
                <w:color w:val="333333"/>
              </w:rPr>
              <w:t>Our employees enable the Company to</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gridSpan w:val="2"/>
          </w:tcPr>
          <w:p>
            <w:pPr>
              <w:ind w:left="1000"/>
              <w:spacing w:after="0"/>
              <w:rPr>
                <w:sz w:val="20"/>
                <w:szCs w:val="20"/>
                <w:color w:val="auto"/>
              </w:rPr>
            </w:pPr>
            <w:r>
              <w:rPr>
                <w:rFonts w:ascii="Arial" w:cs="Arial" w:eastAsia="Arial" w:hAnsi="Arial"/>
                <w:sz w:val="20"/>
                <w:szCs w:val="20"/>
                <w:color w:val="333333"/>
              </w:rPr>
              <w:t>customers have nothing to worry about.</w:t>
            </w:r>
          </w:p>
        </w:tc>
        <w:tc>
          <w:tcPr>
            <w:tcW w:w="0" w:type="dxa"/>
            <w:vAlign w:val="bottom"/>
          </w:tcPr>
          <w:p>
            <w:pPr>
              <w:spacing w:after="0"/>
              <w:rPr>
                <w:sz w:val="1"/>
                <w:szCs w:val="1"/>
                <w:color w:val="auto"/>
              </w:rPr>
            </w:pPr>
          </w:p>
        </w:tc>
      </w:tr>
      <w:tr>
        <w:trPr>
          <w:trHeight w:val="240"/>
        </w:trPr>
        <w:tc>
          <w:tcPr>
            <w:tcW w:w="4480" w:type="dxa"/>
            <w:vAlign w:val="bottom"/>
            <w:gridSpan w:val="12"/>
          </w:tcPr>
          <w:p>
            <w:pPr>
              <w:spacing w:after="0"/>
              <w:rPr>
                <w:sz w:val="20"/>
                <w:szCs w:val="20"/>
                <w:color w:val="auto"/>
              </w:rPr>
            </w:pPr>
            <w:r>
              <w:rPr>
                <w:rFonts w:ascii="Arial" w:cs="Arial" w:eastAsia="Arial" w:hAnsi="Arial"/>
                <w:sz w:val="20"/>
                <w:szCs w:val="20"/>
                <w:color w:val="333333"/>
              </w:rPr>
              <w:t>make improvements to technology and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gridSpan w:val="2"/>
            <w:vMerge w:val="restart"/>
          </w:tcPr>
          <w:p>
            <w:pPr>
              <w:jc w:val="right"/>
              <w:ind w:right="460"/>
              <w:spacing w:after="0"/>
              <w:rPr>
                <w:sz w:val="20"/>
                <w:szCs w:val="20"/>
                <w:color w:val="auto"/>
              </w:rPr>
            </w:pPr>
            <w:r>
              <w:rPr>
                <w:rFonts w:ascii="Arial" w:cs="Arial" w:eastAsia="Arial" w:hAnsi="Arial"/>
                <w:sz w:val="20"/>
                <w:szCs w:val="20"/>
                <w:color w:val="333333"/>
              </w:rPr>
              <w:t>The addition of our new rotary-kiln,</w:t>
            </w:r>
          </w:p>
        </w:tc>
        <w:tc>
          <w:tcPr>
            <w:tcW w:w="0" w:type="dxa"/>
            <w:vAlign w:val="bottom"/>
          </w:tcPr>
          <w:p>
            <w:pPr>
              <w:spacing w:after="0"/>
              <w:rPr>
                <w:sz w:val="1"/>
                <w:szCs w:val="1"/>
                <w:color w:val="auto"/>
              </w:rPr>
            </w:pPr>
          </w:p>
        </w:tc>
      </w:tr>
      <w:tr>
        <w:trPr>
          <w:trHeight w:val="84"/>
        </w:trPr>
        <w:tc>
          <w:tcPr>
            <w:tcW w:w="2840" w:type="dxa"/>
            <w:vAlign w:val="bottom"/>
            <w:vMerge w:val="restart"/>
          </w:tcPr>
          <w:p>
            <w:pPr>
              <w:spacing w:after="0"/>
              <w:rPr>
                <w:sz w:val="20"/>
                <w:szCs w:val="20"/>
                <w:color w:val="auto"/>
              </w:rPr>
            </w:pPr>
            <w:r>
              <w:rPr>
                <w:rFonts w:ascii="Arial" w:cs="Arial" w:eastAsia="Arial" w:hAnsi="Arial"/>
                <w:sz w:val="20"/>
                <w:szCs w:val="20"/>
                <w:color w:val="333333"/>
                <w:w w:val="97"/>
              </w:rPr>
              <w:t>efficiency as well as take on new</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3"/>
            <w:vMerge w:val="restart"/>
          </w:tcPr>
          <w:p>
            <w:pPr>
              <w:jc w:val="center"/>
              <w:ind w:left="378"/>
              <w:spacing w:after="0"/>
              <w:rPr>
                <w:sz w:val="20"/>
                <w:szCs w:val="20"/>
                <w:color w:val="auto"/>
              </w:rPr>
            </w:pPr>
            <w:r>
              <w:rPr>
                <w:rFonts w:ascii="Arial" w:cs="Arial" w:eastAsia="Arial" w:hAnsi="Arial"/>
                <w:sz w:val="13"/>
                <w:szCs w:val="13"/>
                <w:b w:val="1"/>
                <w:bCs w:val="1"/>
                <w:color w:val="auto"/>
                <w:w w:val="85"/>
              </w:rPr>
              <w:t>Sampling</w:t>
            </w:r>
          </w:p>
        </w:tc>
        <w:tc>
          <w:tcPr>
            <w:tcW w:w="200" w:type="dxa"/>
            <w:vAlign w:val="bottom"/>
          </w:tcPr>
          <w:p>
            <w:pPr>
              <w:spacing w:after="0"/>
              <w:rPr>
                <w:sz w:val="13"/>
                <w:szCs w:val="13"/>
                <w:color w:val="auto"/>
              </w:rPr>
            </w:pPr>
          </w:p>
        </w:tc>
        <w:tc>
          <w:tcPr>
            <w:tcW w:w="5060" w:type="dxa"/>
            <w:vAlign w:val="bottom"/>
            <w:gridSpan w:val="2"/>
            <w:vMerge w:val="restart"/>
          </w:tcPr>
          <w:p>
            <w:pPr>
              <w:jc w:val="right"/>
              <w:ind w:right="580"/>
              <w:spacing w:after="0"/>
              <w:rPr>
                <w:sz w:val="20"/>
                <w:szCs w:val="20"/>
                <w:color w:val="auto"/>
              </w:rPr>
            </w:pPr>
            <w:r>
              <w:rPr>
                <w:rFonts w:ascii="Arial" w:cs="Arial" w:eastAsia="Arial" w:hAnsi="Arial"/>
                <w:sz w:val="20"/>
                <w:szCs w:val="20"/>
                <w:color w:val="333333"/>
              </w:rPr>
              <w:t>high-temperature incinerator in</w:t>
            </w:r>
          </w:p>
        </w:tc>
        <w:tc>
          <w:tcPr>
            <w:tcW w:w="0" w:type="dxa"/>
            <w:vAlign w:val="bottom"/>
          </w:tcPr>
          <w:p>
            <w:pPr>
              <w:spacing w:after="0"/>
              <w:rPr>
                <w:sz w:val="1"/>
                <w:szCs w:val="1"/>
                <w:color w:val="auto"/>
              </w:rPr>
            </w:pPr>
          </w:p>
        </w:tc>
      </w:tr>
      <w:tr>
        <w:trPr>
          <w:trHeight w:val="84"/>
        </w:trPr>
        <w:tc>
          <w:tcPr>
            <w:tcW w:w="2840" w:type="dxa"/>
            <w:vAlign w:val="bottom"/>
            <w:vMerge w:val="restart"/>
          </w:tcPr>
          <w:p>
            <w:pPr>
              <w:spacing w:after="0"/>
              <w:rPr>
                <w:sz w:val="20"/>
                <w:szCs w:val="20"/>
                <w:color w:val="auto"/>
              </w:rPr>
            </w:pPr>
            <w:r>
              <w:rPr>
                <w:rFonts w:ascii="Arial" w:cs="Arial" w:eastAsia="Arial" w:hAnsi="Arial"/>
                <w:sz w:val="20"/>
                <w:szCs w:val="20"/>
                <w:color w:val="333333"/>
              </w:rPr>
              <w:t>business initiatives and deliver</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5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200" w:type="dxa"/>
            <w:vAlign w:val="bottom"/>
            <w:vMerge w:val="restart"/>
          </w:tcPr>
          <w:p>
            <w:pPr>
              <w:jc w:val="right"/>
              <w:ind w:right="260"/>
              <w:spacing w:after="0"/>
              <w:rPr>
                <w:sz w:val="20"/>
                <w:szCs w:val="20"/>
                <w:color w:val="auto"/>
              </w:rPr>
            </w:pPr>
            <w:r>
              <w:rPr>
                <w:rFonts w:ascii="Arial" w:cs="Arial" w:eastAsia="Arial" w:hAnsi="Arial"/>
                <w:sz w:val="20"/>
                <w:szCs w:val="20"/>
                <w:color w:val="333333"/>
                <w:w w:val="95"/>
              </w:rPr>
              <w:t>Kimball, Nebraska, reinforces our</w:t>
            </w:r>
          </w:p>
        </w:tc>
        <w:tc>
          <w:tcPr>
            <w:tcW w:w="0" w:type="dxa"/>
            <w:vAlign w:val="bottom"/>
          </w:tcPr>
          <w:p>
            <w:pPr>
              <w:spacing w:after="0"/>
              <w:rPr>
                <w:sz w:val="1"/>
                <w:szCs w:val="1"/>
                <w:color w:val="auto"/>
              </w:rPr>
            </w:pPr>
          </w:p>
        </w:tc>
      </w:tr>
      <w:tr>
        <w:trPr>
          <w:trHeight w:val="96"/>
        </w:trPr>
        <w:tc>
          <w:tcPr>
            <w:tcW w:w="28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840" w:type="dxa"/>
            <w:vAlign w:val="bottom"/>
            <w:vMerge w:val="restart"/>
          </w:tcPr>
          <w:p>
            <w:pPr>
              <w:spacing w:after="0"/>
              <w:rPr>
                <w:sz w:val="20"/>
                <w:szCs w:val="20"/>
                <w:color w:val="auto"/>
              </w:rPr>
            </w:pPr>
            <w:r>
              <w:rPr>
                <w:rFonts w:ascii="Arial" w:cs="Arial" w:eastAsia="Arial" w:hAnsi="Arial"/>
                <w:sz w:val="20"/>
                <w:szCs w:val="20"/>
                <w:color w:val="333333"/>
              </w:rPr>
              <w:t>on our promise of providing</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0" w:type="dxa"/>
            <w:vAlign w:val="bottom"/>
            <w:vMerge w:val="restart"/>
          </w:tcPr>
          <w:p>
            <w:pPr>
              <w:jc w:val="center"/>
              <w:ind w:right="100"/>
              <w:spacing w:after="0" w:line="193" w:lineRule="exact"/>
              <w:rPr>
                <w:sz w:val="20"/>
                <w:szCs w:val="20"/>
                <w:color w:val="auto"/>
              </w:rPr>
            </w:pPr>
            <w:r>
              <w:rPr>
                <w:rFonts w:ascii="Arial" w:cs="Arial" w:eastAsia="Arial" w:hAnsi="Arial"/>
                <w:sz w:val="20"/>
                <w:szCs w:val="20"/>
                <w:color w:val="333333"/>
                <w:w w:val="98"/>
              </w:rPr>
              <w:t>commitment to our customers</w:t>
            </w:r>
          </w:p>
        </w:tc>
        <w:tc>
          <w:tcPr>
            <w:tcW w:w="0" w:type="dxa"/>
            <w:vAlign w:val="bottom"/>
          </w:tcPr>
          <w:p>
            <w:pPr>
              <w:spacing w:after="0"/>
              <w:rPr>
                <w:sz w:val="1"/>
                <w:szCs w:val="1"/>
                <w:color w:val="auto"/>
              </w:rPr>
            </w:pPr>
          </w:p>
        </w:tc>
      </w:tr>
      <w:tr>
        <w:trPr>
          <w:trHeight w:val="38"/>
        </w:trPr>
        <w:tc>
          <w:tcPr>
            <w:tcW w:w="2840" w:type="dxa"/>
            <w:vAlign w:val="bottom"/>
            <w:vMerge w:val="restart"/>
          </w:tcPr>
          <w:p>
            <w:pPr>
              <w:spacing w:after="0"/>
              <w:rPr>
                <w:sz w:val="20"/>
                <w:szCs w:val="20"/>
                <w:color w:val="auto"/>
              </w:rPr>
            </w:pPr>
            <w:r>
              <w:rPr>
                <w:rFonts w:ascii="Arial" w:cs="Arial" w:eastAsia="Arial" w:hAnsi="Arial"/>
                <w:sz w:val="20"/>
                <w:szCs w:val="20"/>
                <w:color w:val="333333"/>
              </w:rPr>
              <w:t>industry-leading solutions.</w:t>
            </w: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343A90"/>
            </w:tcBorders>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3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81"/>
              </w:rPr>
              <w:t>Disposal</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78"/>
              </w:rPr>
              <w:t>Analysis</w:t>
            </w:r>
          </w:p>
        </w:tc>
        <w:tc>
          <w:tcPr>
            <w:tcW w:w="3200" w:type="dxa"/>
            <w:vAlign w:val="bottom"/>
            <w:vMerge w:val="restart"/>
          </w:tcPr>
          <w:p>
            <w:pPr>
              <w:ind w:left="340"/>
              <w:spacing w:after="0"/>
              <w:rPr>
                <w:sz w:val="20"/>
                <w:szCs w:val="20"/>
                <w:color w:val="auto"/>
              </w:rPr>
            </w:pPr>
            <w:r>
              <w:rPr>
                <w:rFonts w:ascii="Arial" w:cs="Arial" w:eastAsia="Arial" w:hAnsi="Arial"/>
                <w:sz w:val="20"/>
                <w:szCs w:val="20"/>
                <w:color w:val="333333"/>
                <w:w w:val="96"/>
              </w:rPr>
              <w:t>who rely on us to safely eliminate</w:t>
            </w:r>
          </w:p>
        </w:tc>
        <w:tc>
          <w:tcPr>
            <w:tcW w:w="0" w:type="dxa"/>
            <w:vAlign w:val="bottom"/>
          </w:tcPr>
          <w:p>
            <w:pPr>
              <w:spacing w:after="0"/>
              <w:rPr>
                <w:sz w:val="1"/>
                <w:szCs w:val="1"/>
                <w:color w:val="auto"/>
              </w:rPr>
            </w:pPr>
          </w:p>
        </w:tc>
      </w:tr>
      <w:tr>
        <w:trPr>
          <w:trHeight w:val="70"/>
        </w:trPr>
        <w:tc>
          <w:tcPr>
            <w:tcW w:w="2840" w:type="dxa"/>
            <w:vAlign w:val="bottom"/>
            <w:vMerge w:val="restart"/>
          </w:tcPr>
          <w:p>
            <w:pPr>
              <w:spacing w:after="0"/>
              <w:rPr>
                <w:sz w:val="20"/>
                <w:szCs w:val="20"/>
                <w:color w:val="auto"/>
              </w:rPr>
            </w:pPr>
            <w:r>
              <w:rPr>
                <w:rFonts w:ascii="Arial" w:cs="Arial" w:eastAsia="Arial" w:hAnsi="Arial"/>
                <w:sz w:val="20"/>
                <w:szCs w:val="20"/>
                <w:color w:val="333333"/>
              </w:rPr>
              <w:t>As new legislation is passed in</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0" w:type="dxa"/>
            <w:vAlign w:val="bottom"/>
          </w:tcPr>
          <w:p>
            <w:pPr>
              <w:ind w:left="440"/>
              <w:spacing w:after="0"/>
              <w:rPr>
                <w:sz w:val="20"/>
                <w:szCs w:val="20"/>
                <w:color w:val="auto"/>
              </w:rPr>
            </w:pPr>
            <w:r>
              <w:rPr>
                <w:rFonts w:ascii="Arial" w:cs="Arial" w:eastAsia="Arial" w:hAnsi="Arial"/>
                <w:sz w:val="20"/>
                <w:szCs w:val="20"/>
                <w:color w:val="333333"/>
              </w:rPr>
              <w:t>their waste without compliance</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333333"/>
              </w:rPr>
              <w:t>the U.S. and Canada, Clean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0" w:type="dxa"/>
            <w:vAlign w:val="bottom"/>
          </w:tcPr>
          <w:p>
            <w:pPr>
              <w:ind w:left="500"/>
              <w:spacing w:after="0"/>
              <w:rPr>
                <w:sz w:val="20"/>
                <w:szCs w:val="20"/>
                <w:color w:val="auto"/>
              </w:rPr>
            </w:pPr>
            <w:r>
              <w:rPr>
                <w:rFonts w:ascii="Arial" w:cs="Arial" w:eastAsia="Arial" w:hAnsi="Arial"/>
                <w:sz w:val="20"/>
                <w:szCs w:val="20"/>
                <w:color w:val="333333"/>
              </w:rPr>
              <w:t>or safety concerns. As our</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333333"/>
              </w:rPr>
              <w:t>Harbors stays ready to tackle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0" w:type="dxa"/>
            <w:vAlign w:val="bottom"/>
          </w:tcPr>
          <w:p>
            <w:pPr>
              <w:ind w:left="560"/>
              <w:spacing w:after="0"/>
              <w:rPr>
                <w:sz w:val="20"/>
                <w:szCs w:val="20"/>
                <w:color w:val="auto"/>
              </w:rPr>
            </w:pPr>
            <w:r>
              <w:rPr>
                <w:rFonts w:ascii="Arial" w:cs="Arial" w:eastAsia="Arial" w:hAnsi="Arial"/>
                <w:sz w:val="20"/>
                <w:szCs w:val="20"/>
                <w:color w:val="333333"/>
                <w:w w:val="96"/>
              </w:rPr>
              <w:t>incineration capacity continues</w:t>
            </w:r>
          </w:p>
        </w:tc>
        <w:tc>
          <w:tcPr>
            <w:tcW w:w="0" w:type="dxa"/>
            <w:vAlign w:val="bottom"/>
          </w:tcPr>
          <w:p>
            <w:pPr>
              <w:spacing w:after="0"/>
              <w:rPr>
                <w:sz w:val="1"/>
                <w:szCs w:val="1"/>
                <w:color w:val="auto"/>
              </w:rPr>
            </w:pPr>
          </w:p>
        </w:tc>
      </w:tr>
      <w:tr>
        <w:trPr>
          <w:trHeight w:val="224"/>
        </w:trPr>
        <w:tc>
          <w:tcPr>
            <w:tcW w:w="2840" w:type="dxa"/>
            <w:vAlign w:val="bottom"/>
          </w:tcPr>
          <w:p>
            <w:pPr>
              <w:spacing w:after="0" w:line="185" w:lineRule="exact"/>
              <w:rPr>
                <w:sz w:val="20"/>
                <w:szCs w:val="20"/>
                <w:color w:val="auto"/>
              </w:rPr>
            </w:pPr>
            <w:r>
              <w:rPr>
                <w:rFonts w:ascii="Arial" w:cs="Arial" w:eastAsia="Arial" w:hAnsi="Arial"/>
                <w:sz w:val="20"/>
                <w:szCs w:val="20"/>
                <w:color w:val="333333"/>
              </w:rPr>
              <w:t>it head-on and streamline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33398F"/>
            </w:tcBorders>
          </w:tcPr>
          <w:p>
            <w:pPr>
              <w:spacing w:after="0"/>
              <w:rPr>
                <w:sz w:val="19"/>
                <w:szCs w:val="19"/>
                <w:color w:val="auto"/>
              </w:rPr>
            </w:pPr>
          </w:p>
        </w:tc>
        <w:tc>
          <w:tcPr>
            <w:tcW w:w="40" w:type="dxa"/>
            <w:vAlign w:val="bottom"/>
            <w:tcBorders>
              <w:bottom w:val="single" w:sz="8" w:color="33398F"/>
            </w:tcBorders>
          </w:tcPr>
          <w:p>
            <w:pPr>
              <w:spacing w:after="0"/>
              <w:rPr>
                <w:sz w:val="19"/>
                <w:szCs w:val="19"/>
                <w:color w:val="auto"/>
              </w:rPr>
            </w:pPr>
          </w:p>
        </w:tc>
        <w:tc>
          <w:tcPr>
            <w:tcW w:w="20" w:type="dxa"/>
            <w:vAlign w:val="bottom"/>
            <w:tcBorders>
              <w:bottom w:val="single" w:sz="8" w:color="33398F"/>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33398F"/>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0" w:type="dxa"/>
            <w:vAlign w:val="bottom"/>
          </w:tcPr>
          <w:p>
            <w:pPr>
              <w:ind w:left="580"/>
              <w:spacing w:after="0" w:line="185" w:lineRule="exact"/>
              <w:rPr>
                <w:sz w:val="20"/>
                <w:szCs w:val="20"/>
                <w:color w:val="auto"/>
              </w:rPr>
            </w:pPr>
            <w:r>
              <w:rPr>
                <w:rFonts w:ascii="Arial" w:cs="Arial" w:eastAsia="Arial" w:hAnsi="Arial"/>
                <w:sz w:val="20"/>
                <w:szCs w:val="20"/>
                <w:color w:val="333333"/>
              </w:rPr>
              <w:t>to expand and improve, so</w:t>
            </w:r>
          </w:p>
        </w:tc>
        <w:tc>
          <w:tcPr>
            <w:tcW w:w="0" w:type="dxa"/>
            <w:vAlign w:val="bottom"/>
          </w:tcPr>
          <w:p>
            <w:pPr>
              <w:spacing w:after="0"/>
              <w:rPr>
                <w:sz w:val="1"/>
                <w:szCs w:val="1"/>
                <w:color w:val="auto"/>
              </w:rPr>
            </w:pPr>
          </w:p>
        </w:tc>
      </w:tr>
      <w:tr>
        <w:trPr>
          <w:trHeight w:val="47"/>
        </w:trPr>
        <w:tc>
          <w:tcPr>
            <w:tcW w:w="2840" w:type="dxa"/>
            <w:vAlign w:val="bottom"/>
            <w:vMerge w:val="restart"/>
          </w:tcPr>
          <w:p>
            <w:pPr>
              <w:spacing w:after="0"/>
              <w:rPr>
                <w:sz w:val="20"/>
                <w:szCs w:val="20"/>
                <w:color w:val="auto"/>
              </w:rPr>
            </w:pPr>
            <w:r>
              <w:rPr>
                <w:rFonts w:ascii="Arial" w:cs="Arial" w:eastAsia="Arial" w:hAnsi="Arial"/>
                <w:sz w:val="20"/>
                <w:szCs w:val="20"/>
                <w:color w:val="333333"/>
              </w:rPr>
              <w:t>compliance and services</w:t>
            </w:r>
          </w:p>
        </w:tc>
        <w:tc>
          <w:tcPr>
            <w:tcW w:w="200" w:type="dxa"/>
            <w:vAlign w:val="bottom"/>
          </w:tcPr>
          <w:p>
            <w:pPr>
              <w:spacing w:after="0"/>
              <w:rPr>
                <w:sz w:val="4"/>
                <w:szCs w:val="4"/>
                <w:color w:val="auto"/>
              </w:rPr>
            </w:pPr>
          </w:p>
        </w:tc>
        <w:tc>
          <w:tcPr>
            <w:tcW w:w="480" w:type="dxa"/>
            <w:vAlign w:val="bottom"/>
            <w:tcBorders>
              <w:bottom w:val="single" w:sz="8" w:color="33398F"/>
            </w:tcBorders>
            <w:gridSpan w:val="7"/>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200" w:type="dxa"/>
            <w:vAlign w:val="bottom"/>
            <w:vMerge w:val="restart"/>
          </w:tcPr>
          <w:p>
            <w:pPr>
              <w:ind w:left="580"/>
              <w:spacing w:after="0"/>
              <w:rPr>
                <w:sz w:val="20"/>
                <w:szCs w:val="20"/>
                <w:color w:val="auto"/>
              </w:rPr>
            </w:pPr>
            <w:r>
              <w:rPr>
                <w:rFonts w:ascii="Arial" w:cs="Arial" w:eastAsia="Arial" w:hAnsi="Arial"/>
                <w:sz w:val="20"/>
                <w:szCs w:val="20"/>
                <w:color w:val="333333"/>
              </w:rPr>
              <w:t>do the capabilities we can</w:t>
            </w:r>
          </w:p>
        </w:tc>
        <w:tc>
          <w:tcPr>
            <w:tcW w:w="0" w:type="dxa"/>
            <w:vAlign w:val="bottom"/>
          </w:tcPr>
          <w:p>
            <w:pPr>
              <w:spacing w:after="0"/>
              <w:rPr>
                <w:sz w:val="1"/>
                <w:szCs w:val="1"/>
                <w:color w:val="auto"/>
              </w:rPr>
            </w:pPr>
          </w:p>
        </w:tc>
      </w:tr>
      <w:tr>
        <w:trPr>
          <w:trHeight w:val="164"/>
        </w:trPr>
        <w:tc>
          <w:tcPr>
            <w:tcW w:w="2840" w:type="dxa"/>
            <w:vAlign w:val="bottom"/>
            <w:vMerge w:val="continue"/>
          </w:tcPr>
          <w:p>
            <w:pPr>
              <w:spacing w:after="0"/>
              <w:rPr>
                <w:sz w:val="14"/>
                <w:szCs w:val="14"/>
                <w:color w:val="auto"/>
              </w:rPr>
            </w:pPr>
          </w:p>
        </w:tc>
        <w:tc>
          <w:tcPr>
            <w:tcW w:w="1640" w:type="dxa"/>
            <w:vAlign w:val="bottom"/>
            <w:gridSpan w:val="11"/>
          </w:tcPr>
          <w:p>
            <w:pPr>
              <w:ind w:left="60"/>
              <w:spacing w:after="0"/>
              <w:rPr>
                <w:sz w:val="20"/>
                <w:szCs w:val="20"/>
                <w:color w:val="auto"/>
              </w:rPr>
            </w:pPr>
            <w:r>
              <w:rPr>
                <w:rFonts w:ascii="Arial" w:cs="Arial" w:eastAsia="Arial" w:hAnsi="Arial"/>
                <w:sz w:val="13"/>
                <w:szCs w:val="13"/>
                <w:b w:val="1"/>
                <w:bCs w:val="1"/>
                <w:color w:val="auto"/>
              </w:rPr>
              <w:t>Transportation</w:t>
            </w:r>
          </w:p>
        </w:tc>
        <w:tc>
          <w:tcPr>
            <w:tcW w:w="1220" w:type="dxa"/>
            <w:vAlign w:val="bottom"/>
            <w:gridSpan w:val="4"/>
            <w:vMerge w:val="restart"/>
          </w:tcPr>
          <w:p>
            <w:pPr>
              <w:jc w:val="center"/>
              <w:ind w:left="138"/>
              <w:spacing w:after="0"/>
              <w:rPr>
                <w:sz w:val="20"/>
                <w:szCs w:val="20"/>
                <w:color w:val="auto"/>
              </w:rPr>
            </w:pPr>
            <w:r>
              <w:rPr>
                <w:rFonts w:ascii="Arial" w:cs="Arial" w:eastAsia="Arial" w:hAnsi="Arial"/>
                <w:sz w:val="12"/>
                <w:szCs w:val="12"/>
                <w:b w:val="1"/>
                <w:bCs w:val="1"/>
                <w:color w:val="FFFFFF"/>
                <w:w w:val="92"/>
              </w:rPr>
              <w:t>TOTAL PFAS</w:t>
            </w:r>
          </w:p>
        </w:tc>
        <w:tc>
          <w:tcPr>
            <w:tcW w:w="1860" w:type="dxa"/>
            <w:vAlign w:val="bottom"/>
          </w:tcPr>
          <w:p>
            <w:pPr>
              <w:ind w:left="980"/>
              <w:spacing w:after="0"/>
              <w:rPr>
                <w:sz w:val="20"/>
                <w:szCs w:val="20"/>
                <w:color w:val="auto"/>
              </w:rPr>
            </w:pPr>
            <w:r>
              <w:rPr>
                <w:rFonts w:ascii="Arial" w:cs="Arial" w:eastAsia="Arial" w:hAnsi="Arial"/>
                <w:sz w:val="13"/>
                <w:szCs w:val="13"/>
                <w:b w:val="1"/>
                <w:bCs w:val="1"/>
                <w:color w:val="auto"/>
                <w:w w:val="92"/>
              </w:rPr>
              <w:t>Drinking Water</w:t>
            </w:r>
          </w:p>
        </w:tc>
        <w:tc>
          <w:tcPr>
            <w:tcW w:w="3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40" w:type="dxa"/>
            <w:vAlign w:val="bottom"/>
            <w:vMerge w:val="restart"/>
          </w:tcPr>
          <w:p>
            <w:pPr>
              <w:spacing w:after="0"/>
              <w:rPr>
                <w:sz w:val="20"/>
                <w:szCs w:val="20"/>
                <w:color w:val="auto"/>
              </w:rPr>
            </w:pPr>
            <w:r>
              <w:rPr>
                <w:rFonts w:ascii="Arial" w:cs="Arial" w:eastAsia="Arial" w:hAnsi="Arial"/>
                <w:sz w:val="20"/>
                <w:szCs w:val="20"/>
                <w:color w:val="333333"/>
              </w:rPr>
              <w:t>for us and our customers.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860" w:type="dxa"/>
            <w:vAlign w:val="bottom"/>
          </w:tcPr>
          <w:p>
            <w:pPr>
              <w:ind w:left="1140"/>
              <w:spacing w:after="0" w:line="132" w:lineRule="exact"/>
              <w:rPr>
                <w:sz w:val="20"/>
                <w:szCs w:val="20"/>
                <w:color w:val="auto"/>
              </w:rPr>
            </w:pPr>
            <w:r>
              <w:rPr>
                <w:rFonts w:ascii="Arial" w:cs="Arial" w:eastAsia="Arial" w:hAnsi="Arial"/>
                <w:sz w:val="13"/>
                <w:szCs w:val="13"/>
                <w:b w:val="1"/>
                <w:bCs w:val="1"/>
                <w:color w:val="auto"/>
              </w:rPr>
              <w:t>Solutions</w:t>
            </w:r>
          </w:p>
        </w:tc>
        <w:tc>
          <w:tcPr>
            <w:tcW w:w="3200" w:type="dxa"/>
            <w:vAlign w:val="bottom"/>
            <w:vMerge w:val="restart"/>
          </w:tcPr>
          <w:p>
            <w:pPr>
              <w:ind w:left="580"/>
              <w:spacing w:after="0"/>
              <w:rPr>
                <w:sz w:val="20"/>
                <w:szCs w:val="20"/>
                <w:color w:val="auto"/>
              </w:rPr>
            </w:pPr>
            <w:r>
              <w:rPr>
                <w:rFonts w:ascii="Arial" w:cs="Arial" w:eastAsia="Arial" w:hAnsi="Arial"/>
                <w:sz w:val="20"/>
                <w:szCs w:val="20"/>
                <w:color w:val="333333"/>
              </w:rPr>
              <w:t>offer customers for the safe</w:t>
            </w:r>
          </w:p>
        </w:tc>
        <w:tc>
          <w:tcPr>
            <w:tcW w:w="0" w:type="dxa"/>
            <w:vAlign w:val="bottom"/>
          </w:tcPr>
          <w:p>
            <w:pPr>
              <w:spacing w:after="0"/>
              <w:rPr>
                <w:sz w:val="1"/>
                <w:szCs w:val="1"/>
                <w:color w:val="auto"/>
              </w:rPr>
            </w:pPr>
          </w:p>
        </w:tc>
      </w:tr>
      <w:tr>
        <w:trPr>
          <w:trHeight w:val="125"/>
        </w:trPr>
        <w:tc>
          <w:tcPr>
            <w:tcW w:w="28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gridSpan w:val="3"/>
          </w:tcPr>
          <w:p>
            <w:pPr>
              <w:jc w:val="center"/>
              <w:ind w:left="358"/>
              <w:spacing w:after="0" w:line="125" w:lineRule="exact"/>
              <w:rPr>
                <w:sz w:val="20"/>
                <w:szCs w:val="20"/>
                <w:color w:val="auto"/>
              </w:rPr>
            </w:pPr>
            <w:r>
              <w:rPr>
                <w:rFonts w:ascii="Arial" w:cs="Arial" w:eastAsia="Arial" w:hAnsi="Arial"/>
                <w:sz w:val="12"/>
                <w:szCs w:val="12"/>
                <w:b w:val="1"/>
                <w:bCs w:val="1"/>
                <w:color w:val="FFFFFF"/>
                <w:w w:val="96"/>
              </w:rPr>
              <w:t>SOLUTION</w:t>
            </w:r>
          </w:p>
        </w:tc>
        <w:tc>
          <w:tcPr>
            <w:tcW w:w="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840" w:type="dxa"/>
            <w:vAlign w:val="bottom"/>
          </w:tcPr>
          <w:p>
            <w:pPr>
              <w:spacing w:after="0" w:line="229" w:lineRule="exact"/>
              <w:rPr>
                <w:sz w:val="20"/>
                <w:szCs w:val="20"/>
                <w:color w:val="auto"/>
              </w:rPr>
            </w:pPr>
            <w:r>
              <w:rPr>
                <w:rFonts w:ascii="Arial" w:cs="Arial" w:eastAsia="Arial" w:hAnsi="Arial"/>
                <w:sz w:val="20"/>
                <w:szCs w:val="20"/>
                <w:color w:val="333333"/>
              </w:rPr>
              <w:t>In 2024, we continued to</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0" w:type="dxa"/>
            <w:vAlign w:val="bottom"/>
          </w:tcPr>
          <w:p>
            <w:pPr>
              <w:ind w:left="580"/>
              <w:spacing w:after="0" w:line="229" w:lineRule="exact"/>
              <w:rPr>
                <w:sz w:val="20"/>
                <w:szCs w:val="20"/>
                <w:color w:val="auto"/>
              </w:rPr>
            </w:pPr>
            <w:r>
              <w:rPr>
                <w:rFonts w:ascii="Arial" w:cs="Arial" w:eastAsia="Arial" w:hAnsi="Arial"/>
                <w:sz w:val="20"/>
                <w:szCs w:val="20"/>
                <w:color w:val="333333"/>
              </w:rPr>
              <w:t>handling, transportation and</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333333"/>
              </w:rPr>
              <w:t>develop and enhance our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0" w:type="dxa"/>
            <w:vAlign w:val="bottom"/>
          </w:tcPr>
          <w:p>
            <w:pPr>
              <w:ind w:left="540"/>
              <w:spacing w:after="0"/>
              <w:rPr>
                <w:sz w:val="20"/>
                <w:szCs w:val="20"/>
                <w:color w:val="auto"/>
              </w:rPr>
            </w:pPr>
            <w:r>
              <w:rPr>
                <w:rFonts w:ascii="Arial" w:cs="Arial" w:eastAsia="Arial" w:hAnsi="Arial"/>
                <w:sz w:val="20"/>
                <w:szCs w:val="20"/>
                <w:color w:val="333333"/>
              </w:rPr>
              <w:t>disposal of complex waste</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333333"/>
              </w:rPr>
              <w:t>PFAS service offerings. Today,</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0" w:type="dxa"/>
            <w:vAlign w:val="bottom"/>
          </w:tcPr>
          <w:p>
            <w:pPr>
              <w:ind w:left="480"/>
              <w:spacing w:after="0"/>
              <w:rPr>
                <w:sz w:val="20"/>
                <w:szCs w:val="20"/>
                <w:color w:val="auto"/>
              </w:rPr>
            </w:pPr>
            <w:r>
              <w:rPr>
                <w:rFonts w:ascii="Arial" w:cs="Arial" w:eastAsia="Arial" w:hAnsi="Arial"/>
                <w:sz w:val="20"/>
                <w:szCs w:val="20"/>
                <w:color w:val="333333"/>
              </w:rPr>
              <w:t>streams such as PFAS.</w:t>
            </w:r>
          </w:p>
        </w:tc>
        <w:tc>
          <w:tcPr>
            <w:tcW w:w="0" w:type="dxa"/>
            <w:vAlign w:val="bottom"/>
          </w:tcPr>
          <w:p>
            <w:pPr>
              <w:spacing w:after="0"/>
              <w:rPr>
                <w:sz w:val="1"/>
                <w:szCs w:val="1"/>
                <w:color w:val="auto"/>
              </w:rPr>
            </w:pPr>
          </w:p>
        </w:tc>
      </w:tr>
      <w:tr>
        <w:trPr>
          <w:trHeight w:val="240"/>
        </w:trPr>
        <w:tc>
          <w:tcPr>
            <w:tcW w:w="2840" w:type="dxa"/>
            <w:vAlign w:val="bottom"/>
          </w:tcPr>
          <w:p>
            <w:pPr>
              <w:spacing w:after="0"/>
              <w:rPr>
                <w:sz w:val="20"/>
                <w:szCs w:val="20"/>
                <w:color w:val="auto"/>
              </w:rPr>
            </w:pPr>
            <w:r>
              <w:rPr>
                <w:rFonts w:ascii="Arial" w:cs="Arial" w:eastAsia="Arial" w:hAnsi="Arial"/>
                <w:sz w:val="20"/>
                <w:szCs w:val="20"/>
                <w:color w:val="333333"/>
              </w:rPr>
              <w:t>we are the foremost provider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0" w:type="dxa"/>
            <w:vAlign w:val="bottom"/>
            <w:vMerge w:val="restart"/>
          </w:tcPr>
          <w:p>
            <w:pPr>
              <w:jc w:val="center"/>
              <w:ind w:right="80"/>
              <w:spacing w:after="0"/>
              <w:rPr>
                <w:sz w:val="20"/>
                <w:szCs w:val="20"/>
                <w:color w:val="auto"/>
              </w:rPr>
            </w:pPr>
            <w:r>
              <w:rPr>
                <w:rFonts w:ascii="Arial" w:cs="Arial" w:eastAsia="Arial" w:hAnsi="Arial"/>
                <w:sz w:val="20"/>
                <w:szCs w:val="20"/>
                <w:color w:val="333333"/>
                <w:w w:val="93"/>
              </w:rPr>
              <w:t>Looking ahead to 2025 and</w:t>
            </w:r>
          </w:p>
        </w:tc>
        <w:tc>
          <w:tcPr>
            <w:tcW w:w="0" w:type="dxa"/>
            <w:vAlign w:val="bottom"/>
          </w:tcPr>
          <w:p>
            <w:pPr>
              <w:spacing w:after="0"/>
              <w:rPr>
                <w:sz w:val="1"/>
                <w:szCs w:val="1"/>
                <w:color w:val="auto"/>
              </w:rPr>
            </w:pPr>
          </w:p>
        </w:tc>
      </w:tr>
      <w:tr>
        <w:trPr>
          <w:trHeight w:val="84"/>
        </w:trPr>
        <w:tc>
          <w:tcPr>
            <w:tcW w:w="2840" w:type="dxa"/>
            <w:vAlign w:val="bottom"/>
            <w:vMerge w:val="restart"/>
          </w:tcPr>
          <w:p>
            <w:pPr>
              <w:spacing w:after="0" w:line="189" w:lineRule="exact"/>
              <w:rPr>
                <w:sz w:val="20"/>
                <w:szCs w:val="20"/>
                <w:color w:val="auto"/>
              </w:rPr>
            </w:pPr>
            <w:r>
              <w:rPr>
                <w:rFonts w:ascii="Arial" w:cs="Arial" w:eastAsia="Arial" w:hAnsi="Arial"/>
                <w:sz w:val="20"/>
                <w:szCs w:val="20"/>
                <w:color w:val="333333"/>
              </w:rPr>
              <w:t>of PFAS management and</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Industrial Water</w:t>
            </w: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8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tcPr>
          <w:p>
            <w:pPr>
              <w:jc w:val="center"/>
              <w:ind w:right="480"/>
              <w:spacing w:after="0" w:line="105" w:lineRule="exact"/>
              <w:rPr>
                <w:sz w:val="20"/>
                <w:szCs w:val="20"/>
                <w:color w:val="auto"/>
              </w:rPr>
            </w:pPr>
            <w:r>
              <w:rPr>
                <w:rFonts w:ascii="Arial" w:cs="Arial" w:eastAsia="Arial" w:hAnsi="Arial"/>
                <w:sz w:val="12"/>
                <w:szCs w:val="12"/>
                <w:b w:val="1"/>
                <w:bCs w:val="1"/>
                <w:color w:val="auto"/>
                <w:w w:val="78"/>
              </w:rPr>
              <w:t>AFFF</w:t>
            </w: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3200" w:type="dxa"/>
            <w:vAlign w:val="bottom"/>
            <w:vMerge w:val="restart"/>
          </w:tcPr>
          <w:p>
            <w:pPr>
              <w:jc w:val="right"/>
              <w:ind w:right="240"/>
              <w:spacing w:after="0"/>
              <w:rPr>
                <w:sz w:val="20"/>
                <w:szCs w:val="20"/>
                <w:color w:val="auto"/>
              </w:rPr>
            </w:pPr>
            <w:r>
              <w:rPr>
                <w:rFonts w:ascii="Arial" w:cs="Arial" w:eastAsia="Arial" w:hAnsi="Arial"/>
                <w:sz w:val="20"/>
                <w:szCs w:val="20"/>
                <w:color w:val="333333"/>
              </w:rPr>
              <w:t>beyond, we remain committed</w:t>
            </w:r>
          </w:p>
        </w:tc>
        <w:tc>
          <w:tcPr>
            <w:tcW w:w="0" w:type="dxa"/>
            <w:vAlign w:val="bottom"/>
          </w:tcPr>
          <w:p>
            <w:pPr>
              <w:spacing w:after="0"/>
              <w:rPr>
                <w:sz w:val="1"/>
                <w:szCs w:val="1"/>
                <w:color w:val="auto"/>
              </w:rPr>
            </w:pPr>
          </w:p>
        </w:tc>
      </w:tr>
      <w:tr>
        <w:trPr>
          <w:trHeight w:val="144"/>
        </w:trPr>
        <w:tc>
          <w:tcPr>
            <w:tcW w:w="2840" w:type="dxa"/>
            <w:vAlign w:val="bottom"/>
            <w:vMerge w:val="restart"/>
          </w:tcPr>
          <w:p>
            <w:pPr>
              <w:spacing w:after="0"/>
              <w:rPr>
                <w:sz w:val="20"/>
                <w:szCs w:val="20"/>
                <w:color w:val="auto"/>
              </w:rPr>
            </w:pPr>
            <w:r>
              <w:rPr>
                <w:rFonts w:ascii="Arial" w:cs="Arial" w:eastAsia="Arial" w:hAnsi="Arial"/>
                <w:sz w:val="20"/>
                <w:szCs w:val="20"/>
                <w:color w:val="333333"/>
              </w:rPr>
              <w:t>destruction with our Total PFAS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center"/>
              <w:ind w:right="380"/>
              <w:spacing w:after="0" w:line="144" w:lineRule="exact"/>
              <w:rPr>
                <w:sz w:val="20"/>
                <w:szCs w:val="20"/>
                <w:color w:val="auto"/>
              </w:rPr>
            </w:pPr>
            <w:r>
              <w:rPr>
                <w:rFonts w:ascii="Arial" w:cs="Arial" w:eastAsia="Arial" w:hAnsi="Arial"/>
                <w:sz w:val="13"/>
                <w:szCs w:val="13"/>
                <w:b w:val="1"/>
                <w:bCs w:val="1"/>
                <w:color w:val="auto"/>
                <w:w w:val="88"/>
              </w:rPr>
              <w:t>Management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Solutions</w:t>
            </w:r>
          </w:p>
        </w:tc>
        <w:tc>
          <w:tcPr>
            <w:tcW w:w="3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8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right w:val="single" w:sz="8" w:color="343A9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200" w:type="dxa"/>
            <w:vAlign w:val="bottom"/>
            <w:vMerge w:val="restart"/>
          </w:tcPr>
          <w:p>
            <w:pPr>
              <w:jc w:val="center"/>
              <w:ind w:right="100"/>
              <w:spacing w:after="0" w:line="167" w:lineRule="exact"/>
              <w:rPr>
                <w:sz w:val="20"/>
                <w:szCs w:val="20"/>
                <w:color w:val="auto"/>
              </w:rPr>
            </w:pPr>
            <w:r>
              <w:rPr>
                <w:rFonts w:ascii="Arial" w:cs="Arial" w:eastAsia="Arial" w:hAnsi="Arial"/>
                <w:sz w:val="19"/>
                <w:szCs w:val="19"/>
                <w:color w:val="333333"/>
              </w:rPr>
              <w:t>to innovation, safety and service</w:t>
            </w:r>
          </w:p>
        </w:tc>
        <w:tc>
          <w:tcPr>
            <w:tcW w:w="0" w:type="dxa"/>
            <w:vAlign w:val="bottom"/>
          </w:tcPr>
          <w:p>
            <w:pPr>
              <w:spacing w:after="0"/>
              <w:rPr>
                <w:sz w:val="1"/>
                <w:szCs w:val="1"/>
                <w:color w:val="auto"/>
              </w:rPr>
            </w:pPr>
          </w:p>
        </w:tc>
      </w:tr>
      <w:tr>
        <w:trPr>
          <w:trHeight w:val="65"/>
        </w:trPr>
        <w:tc>
          <w:tcPr>
            <w:tcW w:w="2840" w:type="dxa"/>
            <w:vAlign w:val="bottom"/>
            <w:vMerge w:val="restart"/>
          </w:tcPr>
          <w:p>
            <w:pPr>
              <w:spacing w:after="0"/>
              <w:rPr>
                <w:sz w:val="20"/>
                <w:szCs w:val="20"/>
                <w:color w:val="auto"/>
              </w:rPr>
            </w:pPr>
            <w:r>
              <w:rPr>
                <w:rFonts w:ascii="Arial" w:cs="Arial" w:eastAsia="Arial" w:hAnsi="Arial"/>
                <w:sz w:val="20"/>
                <w:szCs w:val="20"/>
                <w:color w:val="333333"/>
              </w:rPr>
              <w:t>Solution.</w:t>
            </w: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Borders>
              <w:right w:val="single" w:sz="8" w:color="343A90"/>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2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Soil</w:t>
            </w:r>
          </w:p>
        </w:tc>
        <w:tc>
          <w:tcPr>
            <w:tcW w:w="200" w:type="dxa"/>
            <w:vAlign w:val="bottom"/>
          </w:tcPr>
          <w:p>
            <w:pPr>
              <w:spacing w:after="0"/>
              <w:rPr>
                <w:sz w:val="20"/>
                <w:szCs w:val="20"/>
                <w:color w:val="auto"/>
              </w:rPr>
            </w:pPr>
          </w:p>
        </w:tc>
        <w:tc>
          <w:tcPr>
            <w:tcW w:w="5060" w:type="dxa"/>
            <w:vAlign w:val="bottom"/>
            <w:gridSpan w:val="2"/>
          </w:tcPr>
          <w:p>
            <w:pPr>
              <w:jc w:val="center"/>
              <w:ind w:left="1633"/>
              <w:spacing w:after="0"/>
              <w:rPr>
                <w:sz w:val="20"/>
                <w:szCs w:val="20"/>
                <w:color w:val="auto"/>
              </w:rPr>
            </w:pPr>
            <w:r>
              <w:rPr>
                <w:rFonts w:ascii="Arial" w:cs="Arial" w:eastAsia="Arial" w:hAnsi="Arial"/>
                <w:sz w:val="20"/>
                <w:szCs w:val="20"/>
                <w:color w:val="333333"/>
                <w:w w:val="96"/>
              </w:rPr>
              <w:t>excellence. With our proven expertise</w:t>
            </w:r>
          </w:p>
        </w:tc>
        <w:tc>
          <w:tcPr>
            <w:tcW w:w="0" w:type="dxa"/>
            <w:vAlign w:val="bottom"/>
          </w:tcPr>
          <w:p>
            <w:pPr>
              <w:spacing w:after="0"/>
              <w:rPr>
                <w:sz w:val="1"/>
                <w:szCs w:val="1"/>
                <w:color w:val="auto"/>
              </w:rPr>
            </w:pPr>
          </w:p>
        </w:tc>
      </w:tr>
      <w:tr>
        <w:trPr>
          <w:trHeight w:val="151"/>
        </w:trPr>
        <w:tc>
          <w:tcPr>
            <w:tcW w:w="4480" w:type="dxa"/>
            <w:vAlign w:val="bottom"/>
            <w:gridSpan w:val="12"/>
            <w:vMerge w:val="restart"/>
          </w:tcPr>
          <w:p>
            <w:pPr>
              <w:spacing w:after="0"/>
              <w:rPr>
                <w:sz w:val="20"/>
                <w:szCs w:val="20"/>
                <w:color w:val="auto"/>
              </w:rPr>
            </w:pPr>
            <w:r>
              <w:rPr>
                <w:rFonts w:ascii="Arial" w:cs="Arial" w:eastAsia="Arial" w:hAnsi="Arial"/>
                <w:sz w:val="20"/>
                <w:szCs w:val="20"/>
                <w:color w:val="333333"/>
              </w:rPr>
              <w:t>This comprehensive program is unique;</w:t>
            </w:r>
          </w:p>
        </w:tc>
        <w:tc>
          <w:tcPr>
            <w:tcW w:w="1220" w:type="dxa"/>
            <w:vAlign w:val="bottom"/>
            <w:gridSpan w:val="4"/>
          </w:tcPr>
          <w:p>
            <w:pPr>
              <w:jc w:val="center"/>
              <w:ind w:left="158"/>
              <w:spacing w:after="0"/>
              <w:rPr>
                <w:sz w:val="20"/>
                <w:szCs w:val="20"/>
                <w:color w:val="auto"/>
              </w:rPr>
            </w:pPr>
            <w:r>
              <w:rPr>
                <w:rFonts w:ascii="Arial" w:cs="Arial" w:eastAsia="Arial" w:hAnsi="Arial"/>
                <w:sz w:val="13"/>
                <w:szCs w:val="13"/>
                <w:b w:val="1"/>
                <w:bCs w:val="1"/>
                <w:color w:val="auto"/>
                <w:w w:val="87"/>
              </w:rPr>
              <w:t>Remediation</w:t>
            </w:r>
          </w:p>
        </w:tc>
        <w:tc>
          <w:tcPr>
            <w:tcW w:w="506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333333"/>
              </w:rPr>
              <w:t>and industry-leading offerings, we will</w:t>
            </w:r>
          </w:p>
        </w:tc>
        <w:tc>
          <w:tcPr>
            <w:tcW w:w="0" w:type="dxa"/>
            <w:vAlign w:val="bottom"/>
          </w:tcPr>
          <w:p>
            <w:pPr>
              <w:spacing w:after="0"/>
              <w:rPr>
                <w:sz w:val="1"/>
                <w:szCs w:val="1"/>
                <w:color w:val="auto"/>
              </w:rPr>
            </w:pPr>
          </w:p>
        </w:tc>
      </w:tr>
      <w:tr>
        <w:trPr>
          <w:trHeight w:val="153"/>
        </w:trPr>
        <w:tc>
          <w:tcPr>
            <w:tcW w:w="4480" w:type="dxa"/>
            <w:vAlign w:val="bottom"/>
            <w:gridSpan w:val="12"/>
            <w:vMerge w:val="continue"/>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480" w:type="dxa"/>
            <w:vAlign w:val="bottom"/>
            <w:gridSpan w:val="12"/>
          </w:tcPr>
          <w:p>
            <w:pPr>
              <w:spacing w:after="0"/>
              <w:rPr>
                <w:sz w:val="20"/>
                <w:szCs w:val="20"/>
                <w:color w:val="auto"/>
              </w:rPr>
            </w:pPr>
            <w:r>
              <w:rPr>
                <w:rFonts w:ascii="Arial" w:cs="Arial" w:eastAsia="Arial" w:hAnsi="Arial"/>
                <w:sz w:val="20"/>
                <w:szCs w:val="20"/>
                <w:color w:val="333333"/>
              </w:rPr>
              <w:t>we are the only company in the market</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gridSpan w:val="2"/>
          </w:tcPr>
          <w:p>
            <w:pPr>
              <w:jc w:val="right"/>
              <w:ind w:right="200"/>
              <w:spacing w:after="0"/>
              <w:rPr>
                <w:sz w:val="20"/>
                <w:szCs w:val="20"/>
                <w:color w:val="auto"/>
              </w:rPr>
            </w:pPr>
            <w:r>
              <w:rPr>
                <w:rFonts w:ascii="Arial" w:cs="Arial" w:eastAsia="Arial" w:hAnsi="Arial"/>
                <w:sz w:val="20"/>
                <w:szCs w:val="20"/>
                <w:color w:val="333333"/>
              </w:rPr>
              <w:t>continue to support our customers while</w:t>
            </w:r>
          </w:p>
        </w:tc>
        <w:tc>
          <w:tcPr>
            <w:tcW w:w="0" w:type="dxa"/>
            <w:vAlign w:val="bottom"/>
          </w:tcPr>
          <w:p>
            <w:pPr>
              <w:spacing w:after="0"/>
              <w:rPr>
                <w:sz w:val="1"/>
                <w:szCs w:val="1"/>
                <w:color w:val="auto"/>
              </w:rPr>
            </w:pPr>
          </w:p>
        </w:tc>
      </w:tr>
      <w:tr>
        <w:trPr>
          <w:trHeight w:val="240"/>
        </w:trPr>
        <w:tc>
          <w:tcPr>
            <w:tcW w:w="4480" w:type="dxa"/>
            <w:vAlign w:val="bottom"/>
            <w:gridSpan w:val="12"/>
          </w:tcPr>
          <w:p>
            <w:pPr>
              <w:spacing w:after="0"/>
              <w:rPr>
                <w:sz w:val="20"/>
                <w:szCs w:val="20"/>
                <w:color w:val="auto"/>
              </w:rPr>
            </w:pPr>
            <w:r>
              <w:rPr>
                <w:rFonts w:ascii="Arial" w:cs="Arial" w:eastAsia="Arial" w:hAnsi="Arial"/>
                <w:sz w:val="20"/>
                <w:szCs w:val="20"/>
                <w:color w:val="333333"/>
              </w:rPr>
              <w:t>that offers a fully integrated solution every</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gridSpan w:val="2"/>
          </w:tcPr>
          <w:p>
            <w:pPr>
              <w:jc w:val="right"/>
              <w:ind w:right="160"/>
              <w:spacing w:after="0"/>
              <w:rPr>
                <w:sz w:val="20"/>
                <w:szCs w:val="20"/>
                <w:color w:val="auto"/>
              </w:rPr>
            </w:pPr>
            <w:r>
              <w:rPr>
                <w:rFonts w:ascii="Arial" w:cs="Arial" w:eastAsia="Arial" w:hAnsi="Arial"/>
                <w:sz w:val="20"/>
                <w:szCs w:val="20"/>
                <w:color w:val="333333"/>
              </w:rPr>
              <w:t>delivering the most effective and reliable PFAS</w:t>
            </w:r>
          </w:p>
        </w:tc>
        <w:tc>
          <w:tcPr>
            <w:tcW w:w="0" w:type="dxa"/>
            <w:vAlign w:val="bottom"/>
          </w:tcPr>
          <w:p>
            <w:pPr>
              <w:spacing w:after="0"/>
              <w:rPr>
                <w:sz w:val="1"/>
                <w:szCs w:val="1"/>
                <w:color w:val="auto"/>
              </w:rPr>
            </w:pPr>
          </w:p>
        </w:tc>
      </w:tr>
      <w:tr>
        <w:trPr>
          <w:trHeight w:val="244"/>
        </w:trPr>
        <w:tc>
          <w:tcPr>
            <w:tcW w:w="4480" w:type="dxa"/>
            <w:vAlign w:val="bottom"/>
            <w:gridSpan w:val="12"/>
          </w:tcPr>
          <w:p>
            <w:pPr>
              <w:spacing w:after="0"/>
              <w:rPr>
                <w:sz w:val="20"/>
                <w:szCs w:val="20"/>
                <w:color w:val="auto"/>
              </w:rPr>
            </w:pPr>
            <w:r>
              <w:rPr>
                <w:rFonts w:ascii="Arial" w:cs="Arial" w:eastAsia="Arial" w:hAnsi="Arial"/>
                <w:sz w:val="20"/>
                <w:szCs w:val="20"/>
                <w:color w:val="333333"/>
              </w:rPr>
              <w:t>step of the way. We have definitively proven our</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60" w:type="dxa"/>
            <w:vAlign w:val="bottom"/>
            <w:gridSpan w:val="2"/>
          </w:tcPr>
          <w:p>
            <w:pPr>
              <w:jc w:val="center"/>
              <w:ind w:right="320"/>
              <w:spacing w:after="0"/>
              <w:rPr>
                <w:sz w:val="20"/>
                <w:szCs w:val="20"/>
                <w:color w:val="auto"/>
              </w:rPr>
            </w:pPr>
            <w:r>
              <w:rPr>
                <w:rFonts w:ascii="Arial" w:cs="Arial" w:eastAsia="Arial" w:hAnsi="Arial"/>
                <w:sz w:val="20"/>
                <w:szCs w:val="20"/>
                <w:color w:val="333333"/>
                <w:w w:val="94"/>
              </w:rPr>
              <w:t>management and environmental solutions available.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-3749675</wp:posOffset>
            </wp:positionV>
            <wp:extent cx="7543800" cy="5631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563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ABOUT CLEAN HARBORS</w:t>
      </w:r>
    </w:p>
    <w:p>
      <w:pPr>
        <w:spacing w:after="0" w:line="86"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FFFFFF"/>
        </w:rPr>
        <w:t>Clean Harbors (NYSE: CLH) is North America’s leading provider of environmental and industrial services. The Company serves a diverse customer base, including a majority of Fortune 500 companies. Its customer base spans a number of industries, including chemical, manufacturing and refining, as well as numerous government agencies. These customers rely on Clean Harbors to deliver a broad range of services such as end-to-end hazardous waste management, emergency spill response, industrial cleaning and maintenance and recycling services. Through its Safety-Kleen subsidiary, Clean Harbors also is a leading provider of parts washers and environmental services to commercial, industrial and automotive customers, as well as North America’s largest re-refiner and recycler of used oil. Founded in 1980 and based in Massachusetts, Clean Harbors operates in the United States, Canada, Mexico, Puerto Rico and India. For more information, visit www.cleanharbors.com.</w:t>
      </w:r>
    </w:p>
    <w:p>
      <w:pPr>
        <w:sectPr>
          <w:pgSz w:w="11880" w:h="15480" w:orient="portrait"/>
          <w:cols w:equalWidth="0" w:num="1">
            <w:col w:w="10760"/>
          </w:cols>
          <w:pgMar w:left="540" w:top="238" w:right="580" w:bottom="737" w:gutter="0" w:footer="0" w:header="0"/>
        </w:sectPr>
      </w:pPr>
    </w:p>
    <w:bookmarkStart w:id="2" w:name="page3"/>
    <w:bookmarkEnd w:id="2"/>
    <w:p>
      <w:pPr>
        <w:ind w:left="7800"/>
        <w:spacing w:after="0"/>
        <w:rPr>
          <w:sz w:val="20"/>
          <w:szCs w:val="20"/>
          <w:color w:val="auto"/>
        </w:rPr>
      </w:pPr>
      <w:r>
        <w:rPr>
          <w:rFonts w:ascii="Arial" w:cs="Arial" w:eastAsia="Arial" w:hAnsi="Arial"/>
          <w:sz w:val="24"/>
          <w:szCs w:val="24"/>
          <w:color w:val="333333"/>
        </w:rPr>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7539990</wp:posOffset>
            </wp:positionH>
            <wp:positionV relativeFrom="page">
              <wp:posOffset>0</wp:posOffset>
            </wp:positionV>
            <wp:extent cx="4763" cy="4763"/>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63" cy="4763"/>
                    </a:xfrm>
                    <a:prstGeom prst="rect">
                      <a:avLst/>
                    </a:prstGeom>
                    <a:noFill/>
                  </pic:spPr>
                </pic:pic>
              </a:graphicData>
            </a:graphic>
          </wp:anchor>
        </w:drawing>
        <w:t>TO OUR SHAREHOLDERS</w:t>
      </w:r>
    </w:p>
    <w:p>
      <w:pPr>
        <w:sectPr>
          <w:pgSz w:w="11880" w:h="15481" w:orient="portrait"/>
          <w:cols w:equalWidth="0" w:num="1">
            <w:col w:w="10800"/>
          </w:cols>
          <w:pgMar w:left="540" w:top="680" w:right="5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4"/>
          <w:szCs w:val="24"/>
          <w:b w:val="1"/>
          <w:bCs w:val="1"/>
          <w:color w:val="C10014"/>
        </w:rPr>
        <w:t>DEAR SHAREHOLDERS,</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9"/>
          <w:szCs w:val="19"/>
          <w:color w:val="333333"/>
        </w:rPr>
        <w:t>2024 was a record year for Clean Harbors. We delivered the highest revenue, Adjusted EBITDA and adjusted free cash flow in our history. Our results were the continuation of a multi-year profitable growth trend based on favorable market dynamics in our Environmental Services (ES) segment. We also had several notable non-financial accomplishments.</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b w:val="1"/>
          <w:bCs w:val="1"/>
          <w:color w:val="333333"/>
        </w:rPr>
        <w:t>Setting the Standard for Safety</w:t>
      </w:r>
    </w:p>
    <w:p>
      <w:pPr>
        <w:spacing w:after="0" w:line="118" w:lineRule="exact"/>
        <w:rPr>
          <w:sz w:val="20"/>
          <w:szCs w:val="20"/>
          <w:color w:val="auto"/>
        </w:rPr>
      </w:pPr>
    </w:p>
    <w:p>
      <w:pPr>
        <w:spacing w:after="0" w:line="265" w:lineRule="auto"/>
        <w:rPr>
          <w:sz w:val="20"/>
          <w:szCs w:val="20"/>
          <w:color w:val="auto"/>
        </w:rPr>
      </w:pPr>
      <w:r>
        <w:rPr>
          <w:rFonts w:ascii="Arial" w:cs="Arial" w:eastAsia="Arial" w:hAnsi="Arial"/>
          <w:sz w:val="19"/>
          <w:szCs w:val="19"/>
          <w:color w:val="333333"/>
        </w:rPr>
        <w:t>Our most significant achievement was our stellar safety results as our Total Incident Recordable Rate (TRIR), adjusting for acquisitions, was 0.61 – the best performance in our history. Our safety commitment is embodied in our Safety Starts with Me: Live It 3-6-5 program where employees link their behavior to their personal reasons to be safe. During 2024, we made investments to enhance employee safety including more automation and enhanced reporting systems. Our record low TRIR not only protects our 25,000 employees, but it bolsters our ability to win business, lowers our insurance and healthcare costs, and builds our reputation as a safe employer who cares about its people.</w:t>
      </w:r>
    </w:p>
    <w:p>
      <w:pPr>
        <w:spacing w:after="0" w:line="71" w:lineRule="exact"/>
        <w:rPr>
          <w:sz w:val="20"/>
          <w:szCs w:val="20"/>
          <w:color w:val="auto"/>
        </w:rPr>
      </w:pPr>
    </w:p>
    <w:p>
      <w:pPr>
        <w:spacing w:after="0"/>
        <w:rPr>
          <w:sz w:val="20"/>
          <w:szCs w:val="20"/>
          <w:color w:val="auto"/>
        </w:rPr>
      </w:pPr>
      <w:r>
        <w:rPr>
          <w:rFonts w:ascii="Arial" w:cs="Arial" w:eastAsia="Arial" w:hAnsi="Arial"/>
          <w:sz w:val="24"/>
          <w:szCs w:val="24"/>
          <w:b w:val="1"/>
          <w:bCs w:val="1"/>
          <w:color w:val="333333"/>
        </w:rPr>
        <w:t>Environmental Services Paces a Strong Year</w:t>
      </w:r>
    </w:p>
    <w:p>
      <w:pPr>
        <w:spacing w:after="0" w:line="98" w:lineRule="exact"/>
        <w:rPr>
          <w:sz w:val="20"/>
          <w:szCs w:val="20"/>
          <w:color w:val="auto"/>
        </w:rPr>
      </w:pPr>
    </w:p>
    <w:p>
      <w:pPr>
        <w:ind w:right="320"/>
        <w:spacing w:after="0" w:line="265" w:lineRule="auto"/>
        <w:rPr>
          <w:sz w:val="20"/>
          <w:szCs w:val="20"/>
          <w:color w:val="auto"/>
        </w:rPr>
      </w:pPr>
      <w:r>
        <w:rPr>
          <w:rFonts w:ascii="Arial" w:cs="Arial" w:eastAsia="Arial" w:hAnsi="Arial"/>
          <w:sz w:val="19"/>
          <w:szCs w:val="19"/>
          <w:color w:val="333333"/>
        </w:rPr>
        <w:t>For the year, revenue grew by 9% to $5.9 billion while Adjusted EBITDA increased more than $100 million to $1.12 billion. That combination fueled a 30-basis-point improvement in Adjusted EBITDA margin. Driving that performance was our ES segment that marked its third consecutive year of profitable growth and higher margins, which were up 90 basis points from 2023. The ES segment concluded the year with its 11th straight quarter of higher year-over-year margins through pricing and productivity gains. Based on strong customer demand, our incinerators processed more than 20,000 tons above prior year as we achieved 88% utilization in 2024. The rest of our network also saw strong volumes as our drums collected were up approximately 14%.</w:t>
      </w:r>
    </w:p>
    <w:p>
      <w:pPr>
        <w:spacing w:after="0" w:line="103" w:lineRule="exact"/>
        <w:rPr>
          <w:sz w:val="20"/>
          <w:szCs w:val="20"/>
          <w:color w:val="auto"/>
        </w:rPr>
      </w:pPr>
    </w:p>
    <w:p>
      <w:pPr>
        <w:ind w:right="420"/>
        <w:spacing w:after="0" w:line="297" w:lineRule="auto"/>
        <w:rPr>
          <w:sz w:val="20"/>
          <w:szCs w:val="20"/>
          <w:color w:val="auto"/>
        </w:rPr>
      </w:pPr>
      <w:r>
        <w:rPr>
          <w:rFonts w:ascii="Arial" w:cs="Arial" w:eastAsia="Arial" w:hAnsi="Arial"/>
          <w:sz w:val="18"/>
          <w:szCs w:val="18"/>
          <w:color w:val="333333"/>
        </w:rPr>
        <w:t>Overall, our service businesses, led by Field Services and Safety-Kleen Environmental (SKE), generated another solid year in 2024. SKE delivered 7% growth – extending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333333"/>
        </w:rPr>
        <w:t>multi-year trend of consistent performance. Field Services increased almost 50% with most of that growth coming from our HEPACO acquisition in March. HEPACO brought us 1,000 employees at 40 locations in 17 states. HEPACO has been a welcome addition and ideal cultural fit. We are achieving a high level of cost and revenue synergies from this transaction including insourcing their national call center responses, branch consolidations, procurement savings and access</w:t>
      </w:r>
    </w:p>
    <w:p>
      <w:pPr>
        <w:spacing w:after="0" w:line="2"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333333"/>
        </w:rPr>
        <w:t>to more potential large emergency response (ER) events. Including HEPACO, we responded to more than 20,000 ERs in 2024. HEPACO solidifies our leadership position in a highly fragmented market and sets us on a path to achieving one billion dollars of annual Field Services revenue.</w:t>
      </w:r>
    </w:p>
    <w:p>
      <w:pPr>
        <w:spacing w:after="0" w:line="96" w:lineRule="exact"/>
        <w:rPr>
          <w:sz w:val="20"/>
          <w:szCs w:val="20"/>
          <w:color w:val="auto"/>
        </w:rPr>
      </w:pPr>
    </w:p>
    <w:p>
      <w:pPr>
        <w:ind w:right="140"/>
        <w:spacing w:after="0" w:line="265" w:lineRule="auto"/>
        <w:rPr>
          <w:sz w:val="20"/>
          <w:szCs w:val="20"/>
          <w:color w:val="auto"/>
        </w:rPr>
      </w:pPr>
      <w:r>
        <w:rPr>
          <w:rFonts w:ascii="Arial" w:cs="Arial" w:eastAsia="Arial" w:hAnsi="Arial"/>
          <w:sz w:val="19"/>
          <w:szCs w:val="19"/>
          <w:color w:val="333333"/>
        </w:rPr>
        <w:t>Within our Safety-Kleen Sustainability Solutions (SKSS) segment, we navigated a challenging 2024 as base oil and lubricant pricing were weak. That business is centered around re-refinery spread management between the waste oil we collect and base and blended products we sell. Due to soft demand, we took action in late 2024 by idling one of our re-refineries as well as publicly announcing a broad range of rate increases across our used oil customer base. In addition to our spread management efforts, we also are looking to capitalize on the sustainability aspects of this business. In 2024 we signed a multi-year partnership with BP/ Castrol. Castrol launched its MoreCircular offering where they sell a “green” lubricant to customers using our base oil and have us collect their waste oil. We will remain aggressive in our efforts to stabilize SKSS until the demand and pricing environment improves.</w:t>
      </w:r>
    </w:p>
    <w:p>
      <w:pPr>
        <w:spacing w:after="0" w:line="66"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Commercial Launch of our Kimball Incinerator</w:t>
      </w:r>
    </w:p>
    <w:p>
      <w:pPr>
        <w:spacing w:after="0" w:line="130"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333333"/>
        </w:rPr>
        <w:t>Our key operational development in 2024 was the launch of our 70,000-ton Nebraska incinerator, which is featured on the cover of this report. At a cost of $210 million and four years to complete, this facility brings much needed commercial capacity into the marketplace, which has been undersupplied since the pandemic. We tailored the design to address market needs in areas such as drum processing, specialized lines and direct burn bays. These enhancements will enable the site to process considerable amounts of high-margin materials,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262255</wp:posOffset>
            </wp:positionV>
            <wp:extent cx="6743700" cy="1600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3700" cy="1600200"/>
                    </a:xfrm>
                    <a:prstGeom prst="rect">
                      <a:avLst/>
                    </a:prstGeom>
                    <a:noFill/>
                  </pic:spPr>
                </pic:pic>
              </a:graphicData>
            </a:graphic>
          </wp:anchor>
        </w:drawing>
      </w:r>
    </w:p>
    <w:p>
      <w:pPr>
        <w:spacing w:after="0" w:line="211" w:lineRule="exact"/>
        <w:rPr>
          <w:sz w:val="20"/>
          <w:szCs w:val="20"/>
          <w:color w:val="auto"/>
        </w:rPr>
      </w:pPr>
    </w:p>
    <w:p>
      <w:pPr>
        <w:sectPr>
          <w:pgSz w:w="11880" w:h="15481" w:orient="portrait"/>
          <w:cols w:equalWidth="0" w:num="2">
            <w:col w:w="5240" w:space="280"/>
            <w:col w:w="5280"/>
          </w:cols>
          <w:pgMar w:left="540" w:top="680" w:right="541" w:bottom="0" w:gutter="0" w:footer="0" w:header="0"/>
          <w:type w:val="continuous"/>
        </w:sectPr>
      </w:pPr>
    </w:p>
    <w:p>
      <w:pPr>
        <w:spacing w:after="0" w:line="399" w:lineRule="exact"/>
        <w:rPr>
          <w:sz w:val="20"/>
          <w:szCs w:val="20"/>
          <w:color w:val="auto"/>
        </w:rPr>
      </w:pPr>
    </w:p>
    <w:p>
      <w:pPr>
        <w:ind w:left="3800" w:right="720"/>
        <w:spacing w:after="0" w:line="263" w:lineRule="auto"/>
        <w:rPr>
          <w:sz w:val="20"/>
          <w:szCs w:val="20"/>
          <w:color w:val="auto"/>
        </w:rPr>
      </w:pPr>
      <w:r>
        <w:rPr>
          <w:rFonts w:ascii="Arial" w:cs="Arial" w:eastAsia="Arial" w:hAnsi="Arial"/>
          <w:sz w:val="29"/>
          <w:szCs w:val="29"/>
          <w:b w:val="1"/>
          <w:bCs w:val="1"/>
          <w:color w:val="C10014"/>
        </w:rPr>
        <w:t>“We take pride in the quality and longevity of our workforce as they serve as a competitive advantage for us with customers and will be a source of strength for us as we continue to grow the Company.”</w:t>
      </w:r>
    </w:p>
    <w:p>
      <w:pPr>
        <w:spacing w:after="0" w:line="67" w:lineRule="exact"/>
        <w:rPr>
          <w:sz w:val="20"/>
          <w:szCs w:val="20"/>
          <w:color w:val="auto"/>
        </w:rPr>
      </w:pPr>
    </w:p>
    <w:p>
      <w:pPr>
        <w:ind w:left="3800"/>
        <w:spacing w:after="0"/>
        <w:rPr>
          <w:sz w:val="20"/>
          <w:szCs w:val="20"/>
          <w:color w:val="auto"/>
        </w:rPr>
      </w:pPr>
      <w:r>
        <w:rPr>
          <w:rFonts w:ascii="Arial" w:cs="Arial" w:eastAsia="Arial" w:hAnsi="Arial"/>
          <w:sz w:val="19"/>
          <w:szCs w:val="19"/>
          <w:b w:val="1"/>
          <w:bCs w:val="1"/>
          <w:color w:val="333333"/>
        </w:rPr>
        <w:t xml:space="preserve">Michael L. Battles &amp; Eric W. Gerstenberg </w:t>
      </w:r>
      <w:r>
        <w:rPr>
          <w:rFonts w:ascii="Arial" w:cs="Arial" w:eastAsia="Arial" w:hAnsi="Arial"/>
          <w:sz w:val="19"/>
          <w:szCs w:val="19"/>
          <w:color w:val="333333"/>
        </w:rPr>
        <w:t>Co-Chief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6081395</wp:posOffset>
            </wp:positionH>
            <wp:positionV relativeFrom="paragraph">
              <wp:posOffset>265430</wp:posOffset>
            </wp:positionV>
            <wp:extent cx="775970" cy="258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5970" cy="258445"/>
                    </a:xfrm>
                    <a:prstGeom prst="rect">
                      <a:avLst/>
                    </a:prstGeom>
                    <a:noFill/>
                  </pic:spPr>
                </pic:pic>
              </a:graphicData>
            </a:graphic>
          </wp:anchor>
        </w:drawing>
        <w:drawing>
          <wp:anchor simplePos="0" relativeHeight="251657728" behindDoc="1" locked="0" layoutInCell="0" allowOverlap="1">
            <wp:simplePos x="0" y="0"/>
            <wp:positionH relativeFrom="column">
              <wp:posOffset>3242310</wp:posOffset>
            </wp:positionH>
            <wp:positionV relativeFrom="paragraph">
              <wp:posOffset>236220</wp:posOffset>
            </wp:positionV>
            <wp:extent cx="374650" cy="349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4650" cy="34988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r>
              <w:rPr>
                <w:rFonts w:ascii="Arial" w:cs="Arial" w:eastAsia="Arial" w:hAnsi="Arial"/>
                <w:sz w:val="20"/>
                <w:szCs w:val="20"/>
                <w:b w:val="1"/>
                <w:bCs w:val="1"/>
                <w:color w:val="333333"/>
              </w:rPr>
              <w:t>CLEAN HARBORS, INC. | ANNUAL REPORT 2024</w:t>
            </w:r>
          </w:p>
        </w:tc>
        <w:tc>
          <w:tcPr>
            <w:tcW w:w="460" w:type="dxa"/>
            <w:vAlign w:val="bottom"/>
          </w:tcPr>
          <w:p>
            <w:pPr>
              <w:jc w:val="right"/>
              <w:spacing w:after="0"/>
              <w:rPr>
                <w:sz w:val="20"/>
                <w:szCs w:val="20"/>
                <w:color w:val="auto"/>
              </w:rPr>
            </w:pPr>
            <w:r>
              <w:rPr>
                <w:rFonts w:ascii="Arial" w:cs="Arial" w:eastAsia="Arial" w:hAnsi="Arial"/>
                <w:sz w:val="20"/>
                <w:szCs w:val="20"/>
                <w:color w:val="666666"/>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210820</wp:posOffset>
            </wp:positionV>
            <wp:extent cx="4763" cy="4763"/>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7197725</wp:posOffset>
            </wp:positionH>
            <wp:positionV relativeFrom="paragraph">
              <wp:posOffset>210820</wp:posOffset>
            </wp:positionV>
            <wp:extent cx="4763" cy="4763"/>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1880" w:h="15481" w:orient="portrait"/>
          <w:cols w:equalWidth="0" w:num="1">
            <w:col w:w="10800"/>
          </w:cols>
          <w:pgMar w:left="540" w:top="680" w:right="541" w:bottom="0" w:gutter="0" w:footer="0" w:header="0"/>
          <w:type w:val="continuous"/>
        </w:sectPr>
      </w:pPr>
    </w:p>
    <w:bookmarkStart w:id="3" w:name="page4"/>
    <w:bookmarkEnd w:id="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7539990</wp:posOffset>
            </wp:positionH>
            <wp:positionV relativeFrom="page">
              <wp:posOffset>0</wp:posOffset>
            </wp:positionV>
            <wp:extent cx="4763" cy="4763"/>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rPr>
          <w:sz w:val="20"/>
          <w:szCs w:val="20"/>
          <w:color w:val="auto"/>
        </w:rPr>
      </w:pPr>
      <w:r>
        <w:rPr>
          <w:rFonts w:ascii="Arial" w:cs="Arial" w:eastAsia="Arial" w:hAnsi="Arial"/>
          <w:sz w:val="27"/>
          <w:szCs w:val="27"/>
          <w:color w:val="333333"/>
        </w:rPr>
        <w:t>TO OUR SHAREHOLDERS</w:t>
      </w:r>
    </w:p>
    <w:p>
      <w:pPr>
        <w:sectPr>
          <w:pgSz w:w="11880" w:h="15486" w:orient="portrait"/>
          <w:cols w:equalWidth="0" w:num="1">
            <w:col w:w="10800"/>
          </w:cols>
          <w:pgMar w:left="540" w:top="677" w:right="5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333333"/>
        </w:rPr>
        <w:t>also improving transportation and network efficiency. This additional capacity is sorely needed due to reshoring and the pending U.S. manufacturing boom. The Kimball site also will serve as a key to unlocking discussions with the operators of captive incinerators who are looking for secure capacity in order to close their internal site.</w:t>
      </w:r>
    </w:p>
    <w:p>
      <w:pPr>
        <w:spacing w:after="0" w:line="117" w:lineRule="exact"/>
        <w:rPr>
          <w:sz w:val="20"/>
          <w:szCs w:val="20"/>
          <w:color w:val="auto"/>
        </w:rPr>
      </w:pPr>
    </w:p>
    <w:p>
      <w:pPr>
        <w:spacing w:after="0"/>
        <w:rPr>
          <w:sz w:val="20"/>
          <w:szCs w:val="20"/>
          <w:color w:val="auto"/>
        </w:rPr>
      </w:pPr>
      <w:r>
        <w:rPr>
          <w:rFonts w:ascii="Arial" w:cs="Arial" w:eastAsia="Arial" w:hAnsi="Arial"/>
          <w:sz w:val="24"/>
          <w:szCs w:val="24"/>
          <w:b w:val="1"/>
          <w:bCs w:val="1"/>
          <w:color w:val="333333"/>
        </w:rPr>
        <w:t>Investing in our Extraordinary Team</w:t>
      </w:r>
    </w:p>
    <w:p>
      <w:pPr>
        <w:spacing w:after="0" w:line="11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333333"/>
        </w:rPr>
        <w:t>As the leading provider of environmental and industrial services throughout North America, the success of Clean Harbors begins and ends with our people. We began 2025 with a workforce of 25,000 talented and well-trained employees that are second to none in our industry. For the past several years, we have made a concerted effort to invest in our workforce by expanding benefits, compensation, training, safety and opportunities for career advancement. The best measurement of our efforts</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333333"/>
        </w:rPr>
        <w:t>is our voluntary turnover rate. In 2024, after several years of considerable improvement, we further reduced our voluntary rate by another 250 basis points to reach levels well below pre-pandemic rates. We take pride in the quality and longevity of our workforce as they serve as a competitive advantage for us with customers and will be a source of strength for us as we continue to grow the Company.</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24"/>
          <w:szCs w:val="24"/>
          <w:b w:val="1"/>
          <w:bCs w:val="1"/>
          <w:color w:val="333333"/>
        </w:rPr>
        <w:t>Executing Vision 2027 through Disciplined Capital Allocation</w:t>
      </w:r>
    </w:p>
    <w:p>
      <w:pPr>
        <w:spacing w:after="0" w:line="92"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333333"/>
        </w:rPr>
        <w:t>In 2024, we executed against Vision 2027 – our five-year plan designed to double our size from 2022 through a combination of organic growth and acquisitions. Achieving Vision 2027 is based on careful implementation of our four-part capital allocation strategy.</w:t>
      </w:r>
    </w:p>
    <w:p>
      <w:pPr>
        <w:spacing w:after="0" w:line="113" w:lineRule="exact"/>
        <w:rPr>
          <w:sz w:val="20"/>
          <w:szCs w:val="20"/>
          <w:color w:val="auto"/>
        </w:rPr>
      </w:pPr>
    </w:p>
    <w:p>
      <w:pPr>
        <w:spacing w:after="0" w:line="282" w:lineRule="auto"/>
        <w:tabs>
          <w:tab w:leader="none" w:pos="151" w:val="left"/>
        </w:tabs>
        <w:numPr>
          <w:ilvl w:val="0"/>
          <w:numId w:val="1"/>
        </w:numPr>
        <w:rPr>
          <w:rFonts w:ascii="Arial" w:cs="Arial" w:eastAsia="Arial" w:hAnsi="Arial"/>
          <w:sz w:val="18"/>
          <w:szCs w:val="18"/>
          <w:b w:val="1"/>
          <w:bCs w:val="1"/>
          <w:color w:val="333333"/>
        </w:rPr>
      </w:pPr>
      <w:r>
        <w:rPr>
          <w:rFonts w:ascii="Arial" w:cs="Arial" w:eastAsia="Arial" w:hAnsi="Arial"/>
          <w:sz w:val="18"/>
          <w:szCs w:val="18"/>
          <w:b w:val="1"/>
          <w:bCs w:val="1"/>
          <w:color w:val="333333"/>
        </w:rPr>
        <w:t xml:space="preserve">Organic Growth Investments </w:t>
      </w:r>
      <w:r>
        <w:rPr>
          <w:rFonts w:ascii="Arial" w:cs="Arial" w:eastAsia="Arial" w:hAnsi="Arial"/>
          <w:sz w:val="18"/>
          <w:szCs w:val="18"/>
          <w:color w:val="333333"/>
        </w:rPr>
        <w:t>– In 2025, we will ramp up</w:t>
      </w:r>
      <w:r>
        <w:rPr>
          <w:rFonts w:ascii="Arial" w:cs="Arial" w:eastAsia="Arial" w:hAnsi="Arial"/>
          <w:sz w:val="18"/>
          <w:szCs w:val="18"/>
          <w:b w:val="1"/>
          <w:bCs w:val="1"/>
          <w:color w:val="333333"/>
        </w:rPr>
        <w:t xml:space="preserve"> </w:t>
      </w:r>
      <w:r>
        <w:rPr>
          <w:rFonts w:ascii="Arial" w:cs="Arial" w:eastAsia="Arial" w:hAnsi="Arial"/>
          <w:sz w:val="18"/>
          <w:szCs w:val="18"/>
          <w:color w:val="333333"/>
        </w:rPr>
        <w:t>the Kimball incinerator, along with capping off an expansion of our Baltimore site to create a mid-Atlantic centralized hub for multiple service lines. We intend to replicate that hub blueprint with the purchase of a Phoenix site to address rapid market growth in the Southwest region, particularly in the semiconductor market. We continue to evaluate other internal capital projects across all businesses given our highly leverageable network of assets as we can capture economies of scale, cross selling and margin improvement.</w:t>
      </w:r>
    </w:p>
    <w:p>
      <w:pPr>
        <w:spacing w:after="0" w:line="87" w:lineRule="exact"/>
        <w:rPr>
          <w:rFonts w:ascii="Arial" w:cs="Arial" w:eastAsia="Arial" w:hAnsi="Arial"/>
          <w:sz w:val="18"/>
          <w:szCs w:val="18"/>
          <w:b w:val="1"/>
          <w:bCs w:val="1"/>
          <w:color w:val="333333"/>
        </w:rPr>
      </w:pPr>
    </w:p>
    <w:p>
      <w:pPr>
        <w:ind w:right="20"/>
        <w:spacing w:after="0" w:line="268" w:lineRule="auto"/>
        <w:tabs>
          <w:tab w:leader="none" w:pos="188" w:val="left"/>
        </w:tabs>
        <w:numPr>
          <w:ilvl w:val="0"/>
          <w:numId w:val="1"/>
        </w:numPr>
        <w:rPr>
          <w:rFonts w:ascii="Arial" w:cs="Arial" w:eastAsia="Arial" w:hAnsi="Arial"/>
          <w:sz w:val="19"/>
          <w:szCs w:val="19"/>
          <w:b w:val="1"/>
          <w:bCs w:val="1"/>
          <w:color w:val="333333"/>
        </w:rPr>
      </w:pPr>
      <w:r>
        <w:rPr>
          <w:rFonts w:ascii="Arial" w:cs="Arial" w:eastAsia="Arial" w:hAnsi="Arial"/>
          <w:sz w:val="19"/>
          <w:szCs w:val="19"/>
          <w:b w:val="1"/>
          <w:bCs w:val="1"/>
          <w:color w:val="333333"/>
        </w:rPr>
        <w:t xml:space="preserve">Acquisitions and Divestitures </w:t>
      </w:r>
      <w:r>
        <w:rPr>
          <w:rFonts w:ascii="Arial" w:cs="Arial" w:eastAsia="Arial" w:hAnsi="Arial"/>
          <w:sz w:val="19"/>
          <w:szCs w:val="19"/>
          <w:color w:val="333333"/>
        </w:rPr>
        <w:t>– As we did with HEPACO and</w:t>
      </w:r>
      <w:r>
        <w:rPr>
          <w:rFonts w:ascii="Arial" w:cs="Arial" w:eastAsia="Arial" w:hAnsi="Arial"/>
          <w:sz w:val="19"/>
          <w:szCs w:val="19"/>
          <w:b w:val="1"/>
          <w:bCs w:val="1"/>
          <w:color w:val="333333"/>
        </w:rPr>
        <w:t xml:space="preserve"> </w:t>
      </w:r>
      <w:r>
        <w:rPr>
          <w:rFonts w:ascii="Arial" w:cs="Arial" w:eastAsia="Arial" w:hAnsi="Arial"/>
          <w:sz w:val="19"/>
          <w:szCs w:val="19"/>
          <w:color w:val="333333"/>
        </w:rPr>
        <w:t>Noble in 2024, we fully intend to remain active on the M&amp;A front in 2025. We entered this year with a robust pipeline of M&amp;A candidates. We will deploy shareholder capital selectively with an eye toward permitted assets or service businesses that leverage our fleet and network capabilities.</w:t>
      </w:r>
    </w:p>
    <w:p>
      <w:pPr>
        <w:spacing w:after="0" w:line="96" w:lineRule="exact"/>
        <w:rPr>
          <w:rFonts w:ascii="Arial" w:cs="Arial" w:eastAsia="Arial" w:hAnsi="Arial"/>
          <w:sz w:val="19"/>
          <w:szCs w:val="19"/>
          <w:b w:val="1"/>
          <w:bCs w:val="1"/>
          <w:color w:val="333333"/>
        </w:rPr>
      </w:pPr>
    </w:p>
    <w:p>
      <w:pPr>
        <w:ind w:right="240"/>
        <w:spacing w:after="0" w:line="312" w:lineRule="auto"/>
        <w:tabs>
          <w:tab w:leader="none" w:pos="179" w:val="left"/>
        </w:tabs>
        <w:numPr>
          <w:ilvl w:val="0"/>
          <w:numId w:val="1"/>
        </w:numPr>
        <w:rPr>
          <w:rFonts w:ascii="Arial" w:cs="Arial" w:eastAsia="Arial" w:hAnsi="Arial"/>
          <w:sz w:val="17"/>
          <w:szCs w:val="17"/>
          <w:b w:val="1"/>
          <w:bCs w:val="1"/>
          <w:color w:val="333333"/>
        </w:rPr>
      </w:pPr>
      <w:r>
        <w:rPr>
          <w:rFonts w:ascii="Arial" w:cs="Arial" w:eastAsia="Arial" w:hAnsi="Arial"/>
          <w:sz w:val="17"/>
          <w:szCs w:val="17"/>
          <w:b w:val="1"/>
          <w:bCs w:val="1"/>
          <w:color w:val="333333"/>
        </w:rPr>
        <w:t xml:space="preserve">Share Repurchases </w:t>
      </w:r>
      <w:r>
        <w:rPr>
          <w:rFonts w:ascii="Arial" w:cs="Arial" w:eastAsia="Arial" w:hAnsi="Arial"/>
          <w:sz w:val="17"/>
          <w:szCs w:val="17"/>
          <w:color w:val="333333"/>
        </w:rPr>
        <w:t>– We remain committed to shareholder</w:t>
      </w:r>
      <w:r>
        <w:rPr>
          <w:rFonts w:ascii="Arial" w:cs="Arial" w:eastAsia="Arial" w:hAnsi="Arial"/>
          <w:sz w:val="17"/>
          <w:szCs w:val="17"/>
          <w:b w:val="1"/>
          <w:bCs w:val="1"/>
          <w:color w:val="333333"/>
        </w:rPr>
        <w:t xml:space="preserve"> </w:t>
      </w:r>
      <w:r>
        <w:rPr>
          <w:rFonts w:ascii="Arial" w:cs="Arial" w:eastAsia="Arial" w:hAnsi="Arial"/>
          <w:sz w:val="17"/>
          <w:szCs w:val="17"/>
          <w:color w:val="333333"/>
        </w:rPr>
        <w:t>friendly policies and smartly returning capital to shareholders through our share repurchase program. As we have successfully done for the past decade, we will buy back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227965</wp:posOffset>
            </wp:positionV>
            <wp:extent cx="309880" cy="334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880" cy="334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333333"/>
        </w:rPr>
        <w:t>opportunistically through the $450 million balance on our existing repurchase plan.</w:t>
      </w:r>
    </w:p>
    <w:p>
      <w:pPr>
        <w:spacing w:after="0" w:line="102" w:lineRule="exact"/>
        <w:rPr>
          <w:sz w:val="20"/>
          <w:szCs w:val="20"/>
          <w:color w:val="auto"/>
        </w:rPr>
      </w:pPr>
    </w:p>
    <w:p>
      <w:pPr>
        <w:ind w:right="120"/>
        <w:spacing w:after="0" w:line="268" w:lineRule="auto"/>
        <w:tabs>
          <w:tab w:leader="none" w:pos="189" w:val="left"/>
        </w:tabs>
        <w:numPr>
          <w:ilvl w:val="0"/>
          <w:numId w:val="2"/>
        </w:numPr>
        <w:rPr>
          <w:rFonts w:ascii="Arial" w:cs="Arial" w:eastAsia="Arial" w:hAnsi="Arial"/>
          <w:sz w:val="19"/>
          <w:szCs w:val="19"/>
          <w:b w:val="1"/>
          <w:bCs w:val="1"/>
          <w:color w:val="333333"/>
        </w:rPr>
      </w:pPr>
      <w:r>
        <w:rPr>
          <w:rFonts w:ascii="Arial" w:cs="Arial" w:eastAsia="Arial" w:hAnsi="Arial"/>
          <w:sz w:val="19"/>
          <w:szCs w:val="19"/>
          <w:b w:val="1"/>
          <w:bCs w:val="1"/>
          <w:color w:val="333333"/>
        </w:rPr>
        <w:t xml:space="preserve">Debt Repayment </w:t>
      </w:r>
      <w:r>
        <w:rPr>
          <w:rFonts w:ascii="Arial" w:cs="Arial" w:eastAsia="Arial" w:hAnsi="Arial"/>
          <w:sz w:val="19"/>
          <w:szCs w:val="19"/>
          <w:color w:val="333333"/>
        </w:rPr>
        <w:t>– Reducing debt is currently a low priority</w:t>
      </w:r>
      <w:r>
        <w:rPr>
          <w:rFonts w:ascii="Arial" w:cs="Arial" w:eastAsia="Arial" w:hAnsi="Arial"/>
          <w:sz w:val="19"/>
          <w:szCs w:val="19"/>
          <w:b w:val="1"/>
          <w:bCs w:val="1"/>
          <w:color w:val="333333"/>
        </w:rPr>
        <w:t xml:space="preserve"> </w:t>
      </w:r>
      <w:r>
        <w:rPr>
          <w:rFonts w:ascii="Arial" w:cs="Arial" w:eastAsia="Arial" w:hAnsi="Arial"/>
          <w:sz w:val="19"/>
          <w:szCs w:val="19"/>
          <w:color w:val="333333"/>
        </w:rPr>
        <w:t>as we entered 2025 with a healthy cash balance and low leverage that will enable us to execute Vision 2027. However, we continue to be opportunistic in addressing our interest rates, as we did in 2024 when we re-priced our Term Loan to generate $2 million in annual interest savings.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9"/>
          <w:szCs w:val="19"/>
          <w:color w:val="333333"/>
        </w:rPr>
        <w:t>In total, we continue to look for opportunities, whether those are internal or external, to generate the best returns on capital.</w:t>
      </w:r>
    </w:p>
    <w:p>
      <w:pPr>
        <w:spacing w:after="0" w:line="85" w:lineRule="exact"/>
        <w:rPr>
          <w:sz w:val="20"/>
          <w:szCs w:val="20"/>
          <w:color w:val="auto"/>
        </w:rPr>
      </w:pPr>
    </w:p>
    <w:p>
      <w:pPr>
        <w:ind w:right="160"/>
        <w:spacing w:after="0" w:line="253" w:lineRule="auto"/>
        <w:rPr>
          <w:sz w:val="20"/>
          <w:szCs w:val="20"/>
          <w:color w:val="auto"/>
        </w:rPr>
      </w:pPr>
      <w:r>
        <w:rPr>
          <w:rFonts w:ascii="Arial" w:cs="Arial" w:eastAsia="Arial" w:hAnsi="Arial"/>
          <w:sz w:val="24"/>
          <w:szCs w:val="24"/>
          <w:b w:val="1"/>
          <w:bCs w:val="1"/>
          <w:color w:val="333333"/>
        </w:rPr>
        <w:t>Outlook for 2025 – Optimism and Steady Growth Continues</w:t>
      </w:r>
    </w:p>
    <w:p>
      <w:pPr>
        <w:spacing w:after="0" w:line="92"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333333"/>
        </w:rPr>
        <w:t>We enter 2025 in great shape. We expect another year of profitable growth, led by our ES segment. We are bullish about our prospects this year as demand for our services remains strong, with multiple tailwinds supporting us from reshoring to infrastructure investments to PFAS to potential captive closures. We continue to have a healthy waste backlog and a robust pipeline of remediation and waste projects. The commercial ramp-up of our Kimball incinerator is underway. Our outlook for Field Services is promising given the early returns on HEPACO and the growing need for our skilled workforce and ER capabilities. We anticipate a recovery in Industrial Services this year and fully expect SKE to continue to achieve record waste collection. Lastly, we are pursuing multiple initiatives to stabilize our SKSS segment in 2025.</w:t>
      </w:r>
    </w:p>
    <w:p>
      <w:pPr>
        <w:spacing w:after="0" w:line="87"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333333"/>
        </w:rPr>
        <w:t>We anticipate a high-growth U.S. economy in the years ahead and have set the stage for another great performance in 2025, which will be Clean Harbors’ 45th anniversary. On behalf of our entire management team and Board of Directors, we want to thank our employees for their hard work, dedication and commitment to safety, which drove our record 2024 results. To our shareholders and customers, we are deeply grateful for the confidence you have in our Company. We are excited to execute our strategic vision, generate significant cash flow and build long-term shareholder value in 2025. Stay safe and well in the year ahead.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333333"/>
        </w:rPr>
        <w:t>Co-Chief Executive Officers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333333"/>
        </w:rPr>
        <w:t>Clean Harbors, Inc.</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333333"/>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3081020" cy="615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1020" cy="61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2860" w:val="left"/>
        </w:tabs>
        <w:rPr>
          <w:sz w:val="20"/>
          <w:szCs w:val="20"/>
          <w:color w:val="auto"/>
        </w:rPr>
      </w:pPr>
      <w:r>
        <w:rPr>
          <w:rFonts w:ascii="Arial" w:cs="Arial" w:eastAsia="Arial" w:hAnsi="Arial"/>
          <w:sz w:val="20"/>
          <w:szCs w:val="20"/>
          <w:color w:val="333333"/>
        </w:rPr>
        <w:t>Michael L. Battles</w:t>
      </w:r>
      <w:r>
        <w:rPr>
          <w:sz w:val="20"/>
          <w:szCs w:val="20"/>
          <w:color w:val="auto"/>
        </w:rPr>
        <w:tab/>
      </w:r>
      <w:r>
        <w:rPr>
          <w:rFonts w:ascii="Arial" w:cs="Arial" w:eastAsia="Arial" w:hAnsi="Arial"/>
          <w:sz w:val="17"/>
          <w:szCs w:val="17"/>
          <w:color w:val="333333"/>
        </w:rPr>
        <w:t>Eric W. Gerstenberg</w:t>
      </w:r>
    </w:p>
    <w:p>
      <w:pPr>
        <w:spacing w:after="0" w:line="10" w:lineRule="exact"/>
        <w:rPr>
          <w:sz w:val="20"/>
          <w:szCs w:val="20"/>
          <w:color w:val="auto"/>
        </w:rPr>
      </w:pPr>
    </w:p>
    <w:p>
      <w:pPr>
        <w:spacing w:after="0"/>
        <w:tabs>
          <w:tab w:leader="none" w:pos="2860" w:val="left"/>
        </w:tabs>
        <w:rPr>
          <w:sz w:val="20"/>
          <w:szCs w:val="20"/>
          <w:color w:val="auto"/>
        </w:rPr>
      </w:pPr>
      <w:r>
        <w:rPr>
          <w:rFonts w:ascii="Arial" w:cs="Arial" w:eastAsia="Arial" w:hAnsi="Arial"/>
          <w:sz w:val="20"/>
          <w:szCs w:val="20"/>
          <w:color w:val="333333"/>
        </w:rPr>
        <w:t>Co-Chief Executive Officer</w:t>
      </w:r>
      <w:r>
        <w:rPr>
          <w:sz w:val="20"/>
          <w:szCs w:val="20"/>
          <w:color w:val="auto"/>
        </w:rPr>
        <w:tab/>
      </w:r>
      <w:r>
        <w:rPr>
          <w:rFonts w:ascii="Arial" w:cs="Arial" w:eastAsia="Arial" w:hAnsi="Arial"/>
          <w:sz w:val="18"/>
          <w:szCs w:val="18"/>
          <w:color w:val="333333"/>
        </w:rPr>
        <w:t>Co-Chief Executive Officer</w:t>
      </w:r>
    </w:p>
    <w:p>
      <w:pPr>
        <w:spacing w:after="0" w:line="693" w:lineRule="exact"/>
        <w:rPr>
          <w:sz w:val="20"/>
          <w:szCs w:val="20"/>
          <w:color w:val="auto"/>
        </w:rPr>
      </w:pPr>
    </w:p>
    <w:p>
      <w:pPr>
        <w:sectPr>
          <w:pgSz w:w="11880" w:h="15486" w:orient="portrait"/>
          <w:cols w:equalWidth="0" w:num="2">
            <w:col w:w="5240" w:space="280"/>
            <w:col w:w="5280"/>
          </w:cols>
          <w:pgMar w:left="540" w:top="677" w:right="541" w:bottom="0" w:gutter="0" w:footer="0" w:header="0"/>
          <w:type w:val="continuous"/>
        </w:sectPr>
      </w:pPr>
    </w:p>
    <w:p>
      <w:pPr>
        <w:spacing w:after="0" w:line="284" w:lineRule="exact"/>
        <w:rPr>
          <w:sz w:val="20"/>
          <w:szCs w:val="20"/>
          <w:color w:val="auto"/>
        </w:rPr>
      </w:pPr>
    </w:p>
    <w:p>
      <w:pPr>
        <w:ind w:left="5360"/>
        <w:spacing w:after="0"/>
        <w:rPr>
          <w:sz w:val="20"/>
          <w:szCs w:val="20"/>
          <w:color w:val="auto"/>
        </w:rPr>
      </w:pPr>
      <w:r>
        <w:rPr>
          <w:rFonts w:ascii="Arial" w:cs="Arial" w:eastAsia="Arial" w:hAnsi="Arial"/>
          <w:sz w:val="19"/>
          <w:szCs w:val="19"/>
          <w:color w:val="666666"/>
        </w:rPr>
        <w:t>2</w:t>
      </w:r>
      <w:r>
        <w:rPr>
          <w:sz w:val="1"/>
          <w:szCs w:val="1"/>
          <w:color w:val="auto"/>
        </w:rPr>
        <w:drawing>
          <wp:inline distT="0" distB="0" distL="0" distR="0">
            <wp:extent cx="179070" cy="2451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070" cy="245110"/>
                    </a:xfrm>
                    <a:prstGeom prst="rect">
                      <a:avLst/>
                    </a:prstGeom>
                    <a:noFill/>
                    <a:ln>
                      <a:noFill/>
                    </a:ln>
                  </pic:spPr>
                </pic:pic>
              </a:graphicData>
            </a:graphic>
          </wp:inline>
        </w:drawing>
      </w:r>
      <w:r>
        <w:rPr>
          <w:rFonts w:ascii="Arial" w:cs="Arial" w:eastAsia="Arial" w:hAnsi="Arial"/>
          <w:sz w:val="19"/>
          <w:szCs w:val="19"/>
          <w:b w:val="1"/>
          <w:bCs w:val="1"/>
          <w:color w:val="333333"/>
        </w:rPr>
        <w:t xml:space="preserve">      CLEAN HARBORS, INC. | ANNUAL REPORT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119380</wp:posOffset>
            </wp:positionV>
            <wp:extent cx="4763" cy="4763"/>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7197725</wp:posOffset>
            </wp:positionH>
            <wp:positionV relativeFrom="paragraph">
              <wp:posOffset>119380</wp:posOffset>
            </wp:positionV>
            <wp:extent cx="4763" cy="4763"/>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1880" w:h="15486" w:orient="portrait"/>
          <w:cols w:equalWidth="0" w:num="1">
            <w:col w:w="10800"/>
          </w:cols>
          <w:pgMar w:left="540" w:top="677" w:right="541" w:bottom="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30"/>
          <w:szCs w:val="30"/>
          <w:color w:val="808080"/>
        </w:rPr>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7539990</wp:posOffset>
            </wp:positionH>
            <wp:positionV relativeFrom="page">
              <wp:posOffset>0</wp:posOffset>
            </wp:positionV>
            <wp:extent cx="4763" cy="4763"/>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3" cy="4763"/>
                    </a:xfrm>
                    <a:prstGeom prst="rect">
                      <a:avLst/>
                    </a:prstGeom>
                    <a:noFill/>
                  </pic:spPr>
                </pic:pic>
              </a:graphicData>
            </a:graphic>
          </wp:anchor>
        </w:drawing>
        <w:t>SELECTED FINANCIAL DATA</w:t>
      </w:r>
    </w:p>
    <w:p>
      <w:pPr>
        <w:spacing w:after="0" w:line="200" w:lineRule="exact"/>
        <w:rPr>
          <w:sz w:val="20"/>
          <w:szCs w:val="20"/>
          <w:color w:val="auto"/>
        </w:r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91"/>
        </w:trPr>
        <w:tc>
          <w:tcPr>
            <w:tcW w:w="3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0" w:type="dxa"/>
            <w:vAlign w:val="bottom"/>
            <w:gridSpan w:val="10"/>
          </w:tcPr>
          <w:p>
            <w:pPr>
              <w:ind w:left="600"/>
              <w:spacing w:after="0"/>
              <w:rPr>
                <w:sz w:val="20"/>
                <w:szCs w:val="20"/>
                <w:color w:val="auto"/>
              </w:rPr>
            </w:pPr>
            <w:r>
              <w:rPr>
                <w:rFonts w:ascii="Arial" w:cs="Arial" w:eastAsia="Arial" w:hAnsi="Arial"/>
                <w:sz w:val="16"/>
                <w:szCs w:val="16"/>
                <w:color w:val="333333"/>
              </w:rPr>
              <w:t>For the Years Ended December 31 ( in thousands, except per share amounts )</w:t>
            </w:r>
          </w:p>
        </w:tc>
        <w:tc>
          <w:tcPr>
            <w:tcW w:w="0" w:type="dxa"/>
            <w:vAlign w:val="bottom"/>
          </w:tcPr>
          <w:p>
            <w:pPr>
              <w:spacing w:after="0"/>
              <w:rPr>
                <w:sz w:val="1"/>
                <w:szCs w:val="1"/>
                <w:color w:val="auto"/>
              </w:rPr>
            </w:pPr>
          </w:p>
        </w:tc>
      </w:tr>
      <w:tr>
        <w:trPr>
          <w:trHeight w:val="87"/>
        </w:trPr>
        <w:tc>
          <w:tcPr>
            <w:tcW w:w="3920" w:type="dxa"/>
            <w:vAlign w:val="bottom"/>
          </w:tcPr>
          <w:p>
            <w:pPr>
              <w:spacing w:after="0"/>
              <w:rPr>
                <w:sz w:val="7"/>
                <w:szCs w:val="7"/>
                <w:color w:val="auto"/>
              </w:rPr>
            </w:pPr>
          </w:p>
        </w:tc>
        <w:tc>
          <w:tcPr>
            <w:tcW w:w="40" w:type="dxa"/>
            <w:vAlign w:val="bottom"/>
            <w:tcBorders>
              <w:bottom w:val="single" w:sz="8" w:color="C10014"/>
            </w:tcBorders>
          </w:tcPr>
          <w:p>
            <w:pPr>
              <w:spacing w:after="0"/>
              <w:rPr>
                <w:sz w:val="7"/>
                <w:szCs w:val="7"/>
                <w:color w:val="auto"/>
              </w:rPr>
            </w:pPr>
          </w:p>
        </w:tc>
        <w:tc>
          <w:tcPr>
            <w:tcW w:w="380" w:type="dxa"/>
            <w:vAlign w:val="bottom"/>
            <w:tcBorders>
              <w:bottom w:val="single" w:sz="8" w:color="C10014"/>
            </w:tcBorders>
          </w:tcPr>
          <w:p>
            <w:pPr>
              <w:spacing w:after="0"/>
              <w:rPr>
                <w:sz w:val="7"/>
                <w:szCs w:val="7"/>
                <w:color w:val="auto"/>
              </w:rPr>
            </w:pPr>
          </w:p>
        </w:tc>
        <w:tc>
          <w:tcPr>
            <w:tcW w:w="900" w:type="dxa"/>
            <w:vAlign w:val="bottom"/>
            <w:tcBorders>
              <w:bottom w:val="single" w:sz="8" w:color="C10014"/>
            </w:tcBorders>
          </w:tcPr>
          <w:p>
            <w:pPr>
              <w:spacing w:after="0"/>
              <w:rPr>
                <w:sz w:val="7"/>
                <w:szCs w:val="7"/>
                <w:color w:val="auto"/>
              </w:rPr>
            </w:pPr>
          </w:p>
        </w:tc>
        <w:tc>
          <w:tcPr>
            <w:tcW w:w="400" w:type="dxa"/>
            <w:vAlign w:val="bottom"/>
            <w:tcBorders>
              <w:bottom w:val="single" w:sz="8" w:color="C10014"/>
            </w:tcBorders>
          </w:tcPr>
          <w:p>
            <w:pPr>
              <w:spacing w:after="0"/>
              <w:rPr>
                <w:sz w:val="7"/>
                <w:szCs w:val="7"/>
                <w:color w:val="auto"/>
              </w:rPr>
            </w:pPr>
          </w:p>
        </w:tc>
        <w:tc>
          <w:tcPr>
            <w:tcW w:w="980" w:type="dxa"/>
            <w:vAlign w:val="bottom"/>
            <w:tcBorders>
              <w:bottom w:val="single" w:sz="8" w:color="C10014"/>
            </w:tcBorders>
          </w:tcPr>
          <w:p>
            <w:pPr>
              <w:spacing w:after="0"/>
              <w:rPr>
                <w:sz w:val="7"/>
                <w:szCs w:val="7"/>
                <w:color w:val="auto"/>
              </w:rPr>
            </w:pPr>
          </w:p>
        </w:tc>
        <w:tc>
          <w:tcPr>
            <w:tcW w:w="320" w:type="dxa"/>
            <w:vAlign w:val="bottom"/>
            <w:tcBorders>
              <w:bottom w:val="single" w:sz="8" w:color="C10014"/>
            </w:tcBorders>
          </w:tcPr>
          <w:p>
            <w:pPr>
              <w:spacing w:after="0"/>
              <w:rPr>
                <w:sz w:val="7"/>
                <w:szCs w:val="7"/>
                <w:color w:val="auto"/>
              </w:rPr>
            </w:pPr>
          </w:p>
        </w:tc>
        <w:tc>
          <w:tcPr>
            <w:tcW w:w="980" w:type="dxa"/>
            <w:vAlign w:val="bottom"/>
            <w:tcBorders>
              <w:bottom w:val="single" w:sz="8" w:color="C10014"/>
            </w:tcBorders>
          </w:tcPr>
          <w:p>
            <w:pPr>
              <w:spacing w:after="0"/>
              <w:rPr>
                <w:sz w:val="7"/>
                <w:szCs w:val="7"/>
                <w:color w:val="auto"/>
              </w:rPr>
            </w:pPr>
          </w:p>
        </w:tc>
        <w:tc>
          <w:tcPr>
            <w:tcW w:w="320" w:type="dxa"/>
            <w:vAlign w:val="bottom"/>
            <w:tcBorders>
              <w:bottom w:val="single" w:sz="8" w:color="C10014"/>
            </w:tcBorders>
          </w:tcPr>
          <w:p>
            <w:pPr>
              <w:spacing w:after="0"/>
              <w:rPr>
                <w:sz w:val="7"/>
                <w:szCs w:val="7"/>
                <w:color w:val="auto"/>
              </w:rPr>
            </w:pPr>
          </w:p>
        </w:tc>
        <w:tc>
          <w:tcPr>
            <w:tcW w:w="1000" w:type="dxa"/>
            <w:vAlign w:val="bottom"/>
            <w:tcBorders>
              <w:bottom w:val="single" w:sz="8" w:color="C10014"/>
            </w:tcBorders>
          </w:tcPr>
          <w:p>
            <w:pPr>
              <w:spacing w:after="0"/>
              <w:rPr>
                <w:sz w:val="7"/>
                <w:szCs w:val="7"/>
                <w:color w:val="auto"/>
              </w:rPr>
            </w:pPr>
          </w:p>
        </w:tc>
        <w:tc>
          <w:tcPr>
            <w:tcW w:w="400" w:type="dxa"/>
            <w:vAlign w:val="bottom"/>
            <w:tcBorders>
              <w:bottom w:val="single" w:sz="8" w:color="C10014"/>
            </w:tcBorders>
          </w:tcPr>
          <w:p>
            <w:pPr>
              <w:spacing w:after="0"/>
              <w:rPr>
                <w:sz w:val="7"/>
                <w:szCs w:val="7"/>
                <w:color w:val="auto"/>
              </w:rPr>
            </w:pPr>
          </w:p>
        </w:tc>
        <w:tc>
          <w:tcPr>
            <w:tcW w:w="880" w:type="dxa"/>
            <w:vAlign w:val="bottom"/>
            <w:tcBorders>
              <w:bottom w:val="single" w:sz="8" w:color="C10014"/>
            </w:tcBorders>
          </w:tcPr>
          <w:p>
            <w:pPr>
              <w:spacing w:after="0"/>
              <w:rPr>
                <w:sz w:val="7"/>
                <w:szCs w:val="7"/>
                <w:color w:val="auto"/>
              </w:rPr>
            </w:pPr>
          </w:p>
        </w:tc>
        <w:tc>
          <w:tcPr>
            <w:tcW w:w="20" w:type="dxa"/>
            <w:vAlign w:val="bottom"/>
            <w:tcBorders>
              <w:bottom w:val="single" w:sz="8" w:color="C10014"/>
            </w:tcBorders>
          </w:tcPr>
          <w:p>
            <w:pPr>
              <w:spacing w:after="0"/>
              <w:rPr>
                <w:sz w:val="7"/>
                <w:szCs w:val="7"/>
                <w:color w:val="auto"/>
              </w:rPr>
            </w:pPr>
          </w:p>
        </w:tc>
        <w:tc>
          <w:tcPr>
            <w:tcW w:w="0" w:type="dxa"/>
            <w:vAlign w:val="bottom"/>
          </w:tcPr>
          <w:p>
            <w:pPr>
              <w:spacing w:after="0"/>
              <w:rPr>
                <w:sz w:val="1"/>
                <w:szCs w:val="1"/>
                <w:color w:val="auto"/>
              </w:rPr>
            </w:pPr>
          </w:p>
        </w:tc>
      </w:tr>
      <w:tr>
        <w:trPr>
          <w:trHeight w:val="370"/>
        </w:trPr>
        <w:tc>
          <w:tcPr>
            <w:tcW w:w="3960" w:type="dxa"/>
            <w:vAlign w:val="bottom"/>
            <w:tcBorders>
              <w:right w:val="single" w:sz="8" w:color="333333"/>
            </w:tcBorders>
            <w:gridSpan w:val="2"/>
          </w:tcPr>
          <w:p>
            <w:pPr>
              <w:spacing w:after="0"/>
              <w:rPr>
                <w:sz w:val="20"/>
                <w:szCs w:val="20"/>
                <w:color w:val="auto"/>
              </w:rPr>
            </w:pPr>
            <w:r>
              <w:rPr>
                <w:rFonts w:ascii="Arial" w:cs="Arial" w:eastAsia="Arial" w:hAnsi="Arial"/>
                <w:sz w:val="24"/>
                <w:szCs w:val="24"/>
                <w:b w:val="1"/>
                <w:bCs w:val="1"/>
                <w:color w:val="C10014"/>
              </w:rPr>
              <w:t>INCOME STATEMENT DATA</w:t>
            </w:r>
          </w:p>
        </w:tc>
        <w:tc>
          <w:tcPr>
            <w:tcW w:w="380" w:type="dxa"/>
            <w:vAlign w:val="bottom"/>
            <w:shd w:val="clear" w:color="auto" w:fill="333333"/>
          </w:tcPr>
          <w:p>
            <w:pPr>
              <w:spacing w:after="0"/>
              <w:rPr>
                <w:sz w:val="24"/>
                <w:szCs w:val="24"/>
                <w:color w:val="auto"/>
              </w:rPr>
            </w:pPr>
          </w:p>
        </w:tc>
        <w:tc>
          <w:tcPr>
            <w:tcW w:w="900" w:type="dxa"/>
            <w:vAlign w:val="bottom"/>
            <w:shd w:val="clear" w:color="auto" w:fill="333333"/>
          </w:tcPr>
          <w:p>
            <w:pPr>
              <w:jc w:val="right"/>
              <w:spacing w:after="0"/>
              <w:rPr>
                <w:sz w:val="20"/>
                <w:szCs w:val="20"/>
                <w:color w:val="auto"/>
              </w:rPr>
            </w:pPr>
            <w:r>
              <w:rPr>
                <w:rFonts w:ascii="Arial" w:cs="Arial" w:eastAsia="Arial" w:hAnsi="Arial"/>
                <w:sz w:val="20"/>
                <w:szCs w:val="20"/>
                <w:b w:val="1"/>
                <w:bCs w:val="1"/>
                <w:color w:val="FFFFFF"/>
              </w:rPr>
              <w:t>2024</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b w:val="1"/>
                <w:bCs w:val="1"/>
                <w:color w:val="FFFFFF"/>
              </w:rPr>
              <w:t>2023</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b w:val="1"/>
                <w:bCs w:val="1"/>
                <w:color w:val="FFFFFF"/>
              </w:rPr>
              <w:t>2022</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b w:val="1"/>
                <w:bCs w:val="1"/>
                <w:color w:val="FFFFFF"/>
              </w:rPr>
              <w:t>2021</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FFFFFF"/>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960" w:type="dxa"/>
            <w:vAlign w:val="bottom"/>
            <w:gridSpan w:val="2"/>
          </w:tcPr>
          <w:p>
            <w:pPr>
              <w:spacing w:after="0"/>
              <w:rPr>
                <w:sz w:val="20"/>
                <w:szCs w:val="20"/>
                <w:color w:val="auto"/>
              </w:rPr>
            </w:pPr>
            <w:r>
              <w:rPr>
                <w:rFonts w:ascii="Arial" w:cs="Arial" w:eastAsia="Arial" w:hAnsi="Arial"/>
                <w:sz w:val="20"/>
                <w:szCs w:val="20"/>
                <w:color w:val="333333"/>
              </w:rPr>
              <w:t>Revenues</w:t>
            </w:r>
          </w:p>
        </w:tc>
        <w:tc>
          <w:tcPr>
            <w:tcW w:w="3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89"/>
              </w:rPr>
              <w:t>5,889,952</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w w:val="92"/>
              </w:rPr>
              <w:t>5,409,152</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4"/>
              </w:rPr>
              <w:t>5,166,605</w:t>
            </w:r>
          </w:p>
        </w:tc>
        <w:tc>
          <w:tcPr>
            <w:tcW w:w="32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96"/>
              </w:rPr>
              <w:t>3,805,566</w:t>
            </w:r>
          </w:p>
        </w:tc>
        <w:tc>
          <w:tcPr>
            <w:tcW w:w="40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880" w:type="dxa"/>
            <w:vAlign w:val="bottom"/>
          </w:tcPr>
          <w:p>
            <w:pPr>
              <w:jc w:val="right"/>
              <w:spacing w:after="0"/>
              <w:rPr>
                <w:sz w:val="20"/>
                <w:szCs w:val="20"/>
                <w:color w:val="auto"/>
              </w:rPr>
            </w:pPr>
            <w:r>
              <w:rPr>
                <w:rFonts w:ascii="Arial" w:cs="Arial" w:eastAsia="Arial" w:hAnsi="Arial"/>
                <w:sz w:val="20"/>
                <w:szCs w:val="20"/>
                <w:color w:val="333333"/>
                <w:w w:val="89"/>
              </w:rPr>
              <w:t>3,144,097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Cost of revenues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4,065,713</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w w:val="92"/>
              </w:rPr>
              <w:t>3,746,124</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4"/>
              </w:rPr>
              <w:t>3,543,930</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96"/>
              </w:rPr>
              <w:t>2,609,837</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w w:val="89"/>
              </w:rPr>
              <w:t>2,137,751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960" w:type="dxa"/>
            <w:vAlign w:val="bottom"/>
            <w:gridSpan w:val="2"/>
          </w:tcPr>
          <w:p>
            <w:pPr>
              <w:ind w:left="140"/>
              <w:spacing w:after="0"/>
              <w:rPr>
                <w:sz w:val="20"/>
                <w:szCs w:val="20"/>
                <w:color w:val="auto"/>
              </w:rPr>
            </w:pPr>
            <w:r>
              <w:rPr>
                <w:rFonts w:ascii="Arial" w:cs="Arial" w:eastAsia="Arial" w:hAnsi="Arial"/>
                <w:sz w:val="20"/>
                <w:szCs w:val="20"/>
                <w:color w:val="333333"/>
                <w:w w:val="96"/>
              </w:rPr>
              <w:t>(exclusive of items shown separately below)</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960" w:type="dxa"/>
            <w:vAlign w:val="bottom"/>
            <w:gridSpan w:val="2"/>
          </w:tcPr>
          <w:p>
            <w:pPr>
              <w:spacing w:after="0"/>
              <w:rPr>
                <w:sz w:val="20"/>
                <w:szCs w:val="20"/>
                <w:color w:val="auto"/>
              </w:rPr>
            </w:pPr>
            <w:r>
              <w:rPr>
                <w:rFonts w:ascii="Arial" w:cs="Arial" w:eastAsia="Arial" w:hAnsi="Arial"/>
                <w:sz w:val="20"/>
                <w:szCs w:val="20"/>
                <w:color w:val="333333"/>
                <w:w w:val="98"/>
              </w:rPr>
              <w:t>Selling, general and administrative expenses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739,629</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671,161</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627,391</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537,962</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rPr>
              <w:t>451,044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Accretion of environmental liabilities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13,456</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13,667</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12,943</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11,745</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rPr>
              <w:t>11,051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Depreciation and amortization</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400,922</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365,761</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347,594</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298,135</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rPr>
              <w:t>292,915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4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00" w:type="dxa"/>
            <w:vAlign w:val="bottom"/>
            <w:tcBorders>
              <w:bottom w:val="single" w:sz="8" w:color="666666"/>
            </w:tcBorders>
          </w:tcPr>
          <w:p>
            <w:pPr>
              <w:spacing w:after="0"/>
              <w:rPr>
                <w:sz w:val="3"/>
                <w:szCs w:val="3"/>
                <w:color w:val="auto"/>
              </w:rPr>
            </w:pPr>
          </w:p>
        </w:tc>
        <w:tc>
          <w:tcPr>
            <w:tcW w:w="40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32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320" w:type="dxa"/>
            <w:vAlign w:val="bottom"/>
            <w:tcBorders>
              <w:bottom w:val="single" w:sz="8" w:color="666666"/>
            </w:tcBorders>
          </w:tcPr>
          <w:p>
            <w:pPr>
              <w:spacing w:after="0"/>
              <w:rPr>
                <w:sz w:val="3"/>
                <w:szCs w:val="3"/>
                <w:color w:val="auto"/>
              </w:rPr>
            </w:pPr>
          </w:p>
        </w:tc>
        <w:tc>
          <w:tcPr>
            <w:tcW w:w="1000" w:type="dxa"/>
            <w:vAlign w:val="bottom"/>
            <w:tcBorders>
              <w:bottom w:val="single" w:sz="8" w:color="666666"/>
            </w:tcBorders>
          </w:tcPr>
          <w:p>
            <w:pPr>
              <w:spacing w:after="0"/>
              <w:rPr>
                <w:sz w:val="3"/>
                <w:szCs w:val="3"/>
                <w:color w:val="auto"/>
              </w:rPr>
            </w:pPr>
          </w:p>
        </w:tc>
        <w:tc>
          <w:tcPr>
            <w:tcW w:w="400" w:type="dxa"/>
            <w:vAlign w:val="bottom"/>
            <w:tcBorders>
              <w:bottom w:val="single" w:sz="8" w:color="666666"/>
            </w:tcBorders>
          </w:tcPr>
          <w:p>
            <w:pPr>
              <w:spacing w:after="0"/>
              <w:rPr>
                <w:sz w:val="3"/>
                <w:szCs w:val="3"/>
                <w:color w:val="auto"/>
              </w:rPr>
            </w:pPr>
          </w:p>
        </w:tc>
        <w:tc>
          <w:tcPr>
            <w:tcW w:w="880" w:type="dxa"/>
            <w:vAlign w:val="bottom"/>
            <w:tcBorders>
              <w:bottom w:val="single" w:sz="8" w:color="666666"/>
            </w:tcBorders>
          </w:tcPr>
          <w:p>
            <w:pPr>
              <w:spacing w:after="0"/>
              <w:rPr>
                <w:sz w:val="3"/>
                <w:szCs w:val="3"/>
                <w:color w:val="auto"/>
              </w:rPr>
            </w:pPr>
          </w:p>
        </w:tc>
        <w:tc>
          <w:tcPr>
            <w:tcW w:w="2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3960" w:type="dxa"/>
            <w:vAlign w:val="bottom"/>
            <w:gridSpan w:val="2"/>
          </w:tcPr>
          <w:p>
            <w:pPr>
              <w:spacing w:after="0"/>
              <w:rPr>
                <w:sz w:val="20"/>
                <w:szCs w:val="20"/>
                <w:color w:val="auto"/>
              </w:rPr>
            </w:pPr>
            <w:r>
              <w:rPr>
                <w:rFonts w:ascii="Arial" w:cs="Arial" w:eastAsia="Arial" w:hAnsi="Arial"/>
                <w:sz w:val="20"/>
                <w:szCs w:val="20"/>
                <w:color w:val="333333"/>
              </w:rPr>
              <w:t>Income from operations</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670,232</w:t>
            </w:r>
          </w:p>
        </w:tc>
        <w:tc>
          <w:tcPr>
            <w:tcW w:w="400" w:type="dxa"/>
            <w:vAlign w:val="bottom"/>
          </w:tcPr>
          <w:p>
            <w:pPr>
              <w:spacing w:after="0"/>
              <w:rPr>
                <w:sz w:val="23"/>
                <w:szCs w:val="23"/>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612,439</w:t>
            </w:r>
          </w:p>
        </w:tc>
        <w:tc>
          <w:tcPr>
            <w:tcW w:w="3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634,747</w:t>
            </w:r>
          </w:p>
        </w:tc>
        <w:tc>
          <w:tcPr>
            <w:tcW w:w="3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347,887</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rPr>
              <w:t>251,336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Other (expense) income, net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(1,454)</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2,315</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2,472</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(515)</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rPr>
              <w:t>(290)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Loss on early extinguishment of debt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(371</w:t>
            </w:r>
            <w:r>
              <w:rPr>
                <w:rFonts w:ascii="Arial" w:cs="Arial" w:eastAsia="Arial" w:hAnsi="Arial"/>
                <w:sz w:val="20"/>
                <w:szCs w:val="20"/>
                <w:color w:val="333333"/>
              </w:rPr>
              <w:t>)</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(2,880</w:t>
            </w:r>
            <w:r>
              <w:rPr>
                <w:rFonts w:ascii="Arial" w:cs="Arial" w:eastAsia="Arial" w:hAnsi="Arial"/>
                <w:sz w:val="20"/>
                <w:szCs w:val="20"/>
                <w:color w:val="333333"/>
              </w:rPr>
              <w:t>)</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(422</w:t>
            </w:r>
            <w:r>
              <w:rPr>
                <w:rFonts w:ascii="Arial" w:cs="Arial" w:eastAsia="Arial" w:hAnsi="Arial"/>
                <w:sz w:val="20"/>
                <w:szCs w:val="20"/>
                <w:color w:val="333333"/>
              </w:rPr>
              <w:t>)</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4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20"/>
                <w:szCs w:val="20"/>
                <w:color w:val="333333"/>
              </w:rPr>
              <w:t>—</w:t>
            </w: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Gain (loss) on sale of businesses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333333"/>
              </w:rPr>
              <w:t>—</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333333"/>
              </w:rPr>
              <w:t>—</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8,864</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rPr>
              <w:t>(3,376)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Interest expense, net of interest income</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93"/>
              </w:rPr>
              <w:t>(134,964)</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w w:val="95"/>
              </w:rPr>
              <w:t>(108,595)</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8"/>
              </w:rPr>
              <w:t>(107,663)</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(77,657)</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rPr>
              <w:t>(73,120)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4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00" w:type="dxa"/>
            <w:vAlign w:val="bottom"/>
            <w:tcBorders>
              <w:bottom w:val="single" w:sz="8" w:color="666666"/>
            </w:tcBorders>
          </w:tcPr>
          <w:p>
            <w:pPr>
              <w:spacing w:after="0"/>
              <w:rPr>
                <w:sz w:val="3"/>
                <w:szCs w:val="3"/>
                <w:color w:val="auto"/>
              </w:rPr>
            </w:pPr>
          </w:p>
        </w:tc>
        <w:tc>
          <w:tcPr>
            <w:tcW w:w="40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32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320" w:type="dxa"/>
            <w:vAlign w:val="bottom"/>
            <w:tcBorders>
              <w:bottom w:val="single" w:sz="8" w:color="666666"/>
            </w:tcBorders>
          </w:tcPr>
          <w:p>
            <w:pPr>
              <w:spacing w:after="0"/>
              <w:rPr>
                <w:sz w:val="3"/>
                <w:szCs w:val="3"/>
                <w:color w:val="auto"/>
              </w:rPr>
            </w:pPr>
          </w:p>
        </w:tc>
        <w:tc>
          <w:tcPr>
            <w:tcW w:w="1000" w:type="dxa"/>
            <w:vAlign w:val="bottom"/>
            <w:tcBorders>
              <w:bottom w:val="single" w:sz="8" w:color="666666"/>
            </w:tcBorders>
          </w:tcPr>
          <w:p>
            <w:pPr>
              <w:spacing w:after="0"/>
              <w:rPr>
                <w:sz w:val="3"/>
                <w:szCs w:val="3"/>
                <w:color w:val="auto"/>
              </w:rPr>
            </w:pPr>
          </w:p>
        </w:tc>
        <w:tc>
          <w:tcPr>
            <w:tcW w:w="400" w:type="dxa"/>
            <w:vAlign w:val="bottom"/>
            <w:tcBorders>
              <w:bottom w:val="single" w:sz="8" w:color="666666"/>
            </w:tcBorders>
          </w:tcPr>
          <w:p>
            <w:pPr>
              <w:spacing w:after="0"/>
              <w:rPr>
                <w:sz w:val="3"/>
                <w:szCs w:val="3"/>
                <w:color w:val="auto"/>
              </w:rPr>
            </w:pPr>
          </w:p>
        </w:tc>
        <w:tc>
          <w:tcPr>
            <w:tcW w:w="880" w:type="dxa"/>
            <w:vAlign w:val="bottom"/>
            <w:tcBorders>
              <w:bottom w:val="single" w:sz="8" w:color="666666"/>
            </w:tcBorders>
          </w:tcPr>
          <w:p>
            <w:pPr>
              <w:spacing w:after="0"/>
              <w:rPr>
                <w:sz w:val="3"/>
                <w:szCs w:val="3"/>
                <w:color w:val="auto"/>
              </w:rPr>
            </w:pPr>
          </w:p>
        </w:tc>
        <w:tc>
          <w:tcPr>
            <w:tcW w:w="2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960" w:type="dxa"/>
            <w:vAlign w:val="bottom"/>
            <w:gridSpan w:val="2"/>
          </w:tcPr>
          <w:p>
            <w:pPr>
              <w:spacing w:after="0"/>
              <w:rPr>
                <w:sz w:val="20"/>
                <w:szCs w:val="20"/>
                <w:color w:val="auto"/>
              </w:rPr>
            </w:pPr>
            <w:r>
              <w:rPr>
                <w:rFonts w:ascii="Arial" w:cs="Arial" w:eastAsia="Arial" w:hAnsi="Arial"/>
                <w:sz w:val="20"/>
                <w:szCs w:val="20"/>
                <w:color w:val="333333"/>
              </w:rPr>
              <w:t>Income before provision for income taxes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533,443</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503,279</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537,998</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269,715</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rPr>
              <w:t>174,550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960" w:type="dxa"/>
            <w:vAlign w:val="bottom"/>
            <w:gridSpan w:val="2"/>
          </w:tcPr>
          <w:p>
            <w:pPr>
              <w:spacing w:after="0"/>
              <w:rPr>
                <w:sz w:val="20"/>
                <w:szCs w:val="20"/>
                <w:color w:val="auto"/>
              </w:rPr>
            </w:pPr>
            <w:r>
              <w:rPr>
                <w:rFonts w:ascii="Arial" w:cs="Arial" w:eastAsia="Arial" w:hAnsi="Arial"/>
                <w:sz w:val="20"/>
                <w:szCs w:val="20"/>
                <w:color w:val="333333"/>
              </w:rPr>
              <w:t>Provision for income taxes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131,144</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125,423</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126,254</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66,468</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rPr>
              <w:t>39,713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40" w:type="dxa"/>
            <w:vAlign w:val="bottom"/>
            <w:tcBorders>
              <w:bottom w:val="single" w:sz="8" w:color="666666"/>
            </w:tcBorders>
          </w:tcPr>
          <w:p>
            <w:pPr>
              <w:spacing w:after="0"/>
              <w:rPr>
                <w:sz w:val="3"/>
                <w:szCs w:val="3"/>
                <w:color w:val="auto"/>
              </w:rPr>
            </w:pPr>
          </w:p>
        </w:tc>
        <w:tc>
          <w:tcPr>
            <w:tcW w:w="380" w:type="dxa"/>
            <w:vAlign w:val="bottom"/>
            <w:tcBorders>
              <w:bottom w:val="single" w:sz="8" w:color="666666"/>
            </w:tcBorders>
          </w:tcPr>
          <w:p>
            <w:pPr>
              <w:spacing w:after="0"/>
              <w:rPr>
                <w:sz w:val="3"/>
                <w:szCs w:val="3"/>
                <w:color w:val="auto"/>
              </w:rPr>
            </w:pPr>
          </w:p>
        </w:tc>
        <w:tc>
          <w:tcPr>
            <w:tcW w:w="900" w:type="dxa"/>
            <w:vAlign w:val="bottom"/>
            <w:tcBorders>
              <w:bottom w:val="single" w:sz="8" w:color="666666"/>
            </w:tcBorders>
          </w:tcPr>
          <w:p>
            <w:pPr>
              <w:spacing w:after="0"/>
              <w:rPr>
                <w:sz w:val="3"/>
                <w:szCs w:val="3"/>
                <w:color w:val="auto"/>
              </w:rPr>
            </w:pPr>
          </w:p>
        </w:tc>
        <w:tc>
          <w:tcPr>
            <w:tcW w:w="40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32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320" w:type="dxa"/>
            <w:vAlign w:val="bottom"/>
            <w:tcBorders>
              <w:bottom w:val="single" w:sz="8" w:color="666666"/>
            </w:tcBorders>
          </w:tcPr>
          <w:p>
            <w:pPr>
              <w:spacing w:after="0"/>
              <w:rPr>
                <w:sz w:val="3"/>
                <w:szCs w:val="3"/>
                <w:color w:val="auto"/>
              </w:rPr>
            </w:pPr>
          </w:p>
        </w:tc>
        <w:tc>
          <w:tcPr>
            <w:tcW w:w="1000" w:type="dxa"/>
            <w:vAlign w:val="bottom"/>
            <w:tcBorders>
              <w:bottom w:val="single" w:sz="8" w:color="666666"/>
            </w:tcBorders>
          </w:tcPr>
          <w:p>
            <w:pPr>
              <w:spacing w:after="0"/>
              <w:rPr>
                <w:sz w:val="3"/>
                <w:szCs w:val="3"/>
                <w:color w:val="auto"/>
              </w:rPr>
            </w:pPr>
          </w:p>
        </w:tc>
        <w:tc>
          <w:tcPr>
            <w:tcW w:w="400" w:type="dxa"/>
            <w:vAlign w:val="bottom"/>
            <w:tcBorders>
              <w:bottom w:val="single" w:sz="8" w:color="666666"/>
            </w:tcBorders>
          </w:tcPr>
          <w:p>
            <w:pPr>
              <w:spacing w:after="0"/>
              <w:rPr>
                <w:sz w:val="3"/>
                <w:szCs w:val="3"/>
                <w:color w:val="auto"/>
              </w:rPr>
            </w:pPr>
          </w:p>
        </w:tc>
        <w:tc>
          <w:tcPr>
            <w:tcW w:w="880" w:type="dxa"/>
            <w:vAlign w:val="bottom"/>
            <w:tcBorders>
              <w:bottom w:val="single" w:sz="8" w:color="666666"/>
            </w:tcBorders>
          </w:tcPr>
          <w:p>
            <w:pPr>
              <w:spacing w:after="0"/>
              <w:rPr>
                <w:sz w:val="3"/>
                <w:szCs w:val="3"/>
                <w:color w:val="auto"/>
              </w:rPr>
            </w:pPr>
          </w:p>
        </w:tc>
        <w:tc>
          <w:tcPr>
            <w:tcW w:w="2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920" w:type="dxa"/>
            <w:vAlign w:val="bottom"/>
          </w:tcPr>
          <w:p>
            <w:pPr>
              <w:spacing w:after="0"/>
              <w:rPr>
                <w:sz w:val="20"/>
                <w:szCs w:val="20"/>
                <w:color w:val="auto"/>
              </w:rPr>
            </w:pPr>
            <w:r>
              <w:rPr>
                <w:rFonts w:ascii="Arial" w:cs="Arial" w:eastAsia="Arial" w:hAnsi="Arial"/>
                <w:sz w:val="20"/>
                <w:szCs w:val="20"/>
                <w:color w:val="333333"/>
              </w:rPr>
              <w:t>Net income</w:t>
            </w:r>
          </w:p>
        </w:tc>
        <w:tc>
          <w:tcPr>
            <w:tcW w:w="40" w:type="dxa"/>
            <w:vAlign w:val="bottom"/>
            <w:tcBorders>
              <w:bottom w:val="single" w:sz="8" w:color="666666"/>
            </w:tcBorders>
          </w:tcPr>
          <w:p>
            <w:pPr>
              <w:spacing w:after="0"/>
              <w:rPr>
                <w:sz w:val="24"/>
                <w:szCs w:val="24"/>
                <w:color w:val="auto"/>
              </w:rPr>
            </w:pPr>
          </w:p>
        </w:tc>
        <w:tc>
          <w:tcPr>
            <w:tcW w:w="380" w:type="dxa"/>
            <w:vAlign w:val="bottom"/>
            <w:tcBorders>
              <w:bottom w:val="single" w:sz="8" w:color="666666"/>
            </w:tcBorders>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666666"/>
            </w:tcBorders>
          </w:tcPr>
          <w:p>
            <w:pPr>
              <w:jc w:val="right"/>
              <w:spacing w:after="0"/>
              <w:rPr>
                <w:sz w:val="20"/>
                <w:szCs w:val="20"/>
                <w:color w:val="auto"/>
              </w:rPr>
            </w:pPr>
            <w:r>
              <w:rPr>
                <w:rFonts w:ascii="Arial" w:cs="Arial" w:eastAsia="Arial" w:hAnsi="Arial"/>
                <w:sz w:val="20"/>
                <w:szCs w:val="20"/>
                <w:color w:val="auto"/>
              </w:rPr>
              <w:t>402,299</w:t>
            </w:r>
          </w:p>
        </w:tc>
        <w:tc>
          <w:tcPr>
            <w:tcW w:w="400" w:type="dxa"/>
            <w:vAlign w:val="bottom"/>
            <w:tcBorders>
              <w:bottom w:val="single" w:sz="8" w:color="666666"/>
            </w:tcBorders>
          </w:tcPr>
          <w:p>
            <w:pPr>
              <w:jc w:val="right"/>
              <w:ind w:right="10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666666"/>
            </w:tcBorders>
          </w:tcPr>
          <w:p>
            <w:pPr>
              <w:jc w:val="right"/>
              <w:ind w:right="41"/>
              <w:spacing w:after="0"/>
              <w:rPr>
                <w:sz w:val="20"/>
                <w:szCs w:val="20"/>
                <w:color w:val="auto"/>
              </w:rPr>
            </w:pPr>
            <w:r>
              <w:rPr>
                <w:rFonts w:ascii="Arial" w:cs="Arial" w:eastAsia="Arial" w:hAnsi="Arial"/>
                <w:sz w:val="20"/>
                <w:szCs w:val="20"/>
                <w:color w:val="auto"/>
              </w:rPr>
              <w:t>377,856</w:t>
            </w:r>
          </w:p>
        </w:tc>
        <w:tc>
          <w:tcPr>
            <w:tcW w:w="320" w:type="dxa"/>
            <w:vAlign w:val="bottom"/>
            <w:tcBorders>
              <w:bottom w:val="single" w:sz="8" w:color="666666"/>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666666"/>
            </w:tcBorders>
          </w:tcPr>
          <w:p>
            <w:pPr>
              <w:jc w:val="right"/>
              <w:ind w:right="20"/>
              <w:spacing w:after="0"/>
              <w:rPr>
                <w:sz w:val="20"/>
                <w:szCs w:val="20"/>
                <w:color w:val="auto"/>
              </w:rPr>
            </w:pPr>
            <w:r>
              <w:rPr>
                <w:rFonts w:ascii="Arial" w:cs="Arial" w:eastAsia="Arial" w:hAnsi="Arial"/>
                <w:sz w:val="20"/>
                <w:szCs w:val="20"/>
                <w:color w:val="auto"/>
              </w:rPr>
              <w:t>411,744</w:t>
            </w:r>
          </w:p>
        </w:tc>
        <w:tc>
          <w:tcPr>
            <w:tcW w:w="320" w:type="dxa"/>
            <w:vAlign w:val="bottom"/>
            <w:tcBorders>
              <w:bottom w:val="single" w:sz="8" w:color="666666"/>
            </w:tcBorders>
          </w:tcPr>
          <w:p>
            <w:pPr>
              <w:jc w:val="right"/>
              <w:spacing w:after="0"/>
              <w:rPr>
                <w:sz w:val="20"/>
                <w:szCs w:val="20"/>
                <w:color w:val="auto"/>
              </w:rPr>
            </w:pPr>
            <w:r>
              <w:rPr>
                <w:rFonts w:ascii="Arial" w:cs="Arial" w:eastAsia="Arial" w:hAnsi="Arial"/>
                <w:sz w:val="20"/>
                <w:szCs w:val="20"/>
                <w:color w:val="333333"/>
              </w:rPr>
              <w:t>$</w:t>
            </w:r>
          </w:p>
        </w:tc>
        <w:tc>
          <w:tcPr>
            <w:tcW w:w="1000" w:type="dxa"/>
            <w:vAlign w:val="bottom"/>
            <w:tcBorders>
              <w:bottom w:val="single" w:sz="8" w:color="666666"/>
            </w:tcBorders>
          </w:tcPr>
          <w:p>
            <w:pPr>
              <w:jc w:val="right"/>
              <w:ind w:right="20"/>
              <w:spacing w:after="0"/>
              <w:rPr>
                <w:sz w:val="20"/>
                <w:szCs w:val="20"/>
                <w:color w:val="auto"/>
              </w:rPr>
            </w:pPr>
            <w:r>
              <w:rPr>
                <w:rFonts w:ascii="Arial" w:cs="Arial" w:eastAsia="Arial" w:hAnsi="Arial"/>
                <w:sz w:val="20"/>
                <w:szCs w:val="20"/>
                <w:color w:val="333333"/>
              </w:rPr>
              <w:t>203,247</w:t>
            </w:r>
          </w:p>
        </w:tc>
        <w:tc>
          <w:tcPr>
            <w:tcW w:w="400" w:type="dxa"/>
            <w:vAlign w:val="bottom"/>
            <w:tcBorders>
              <w:bottom w:val="single" w:sz="8" w:color="666666"/>
            </w:tcBorders>
          </w:tcPr>
          <w:p>
            <w:pPr>
              <w:jc w:val="right"/>
              <w:ind w:right="20"/>
              <w:spacing w:after="0"/>
              <w:rPr>
                <w:sz w:val="20"/>
                <w:szCs w:val="20"/>
                <w:color w:val="auto"/>
              </w:rPr>
            </w:pPr>
            <w:r>
              <w:rPr>
                <w:rFonts w:ascii="Arial" w:cs="Arial" w:eastAsia="Arial" w:hAnsi="Arial"/>
                <w:sz w:val="20"/>
                <w:szCs w:val="20"/>
                <w:color w:val="333333"/>
              </w:rPr>
              <w:t>$</w:t>
            </w:r>
          </w:p>
        </w:tc>
        <w:tc>
          <w:tcPr>
            <w:tcW w:w="880" w:type="dxa"/>
            <w:vAlign w:val="bottom"/>
            <w:tcBorders>
              <w:bottom w:val="single" w:sz="8" w:color="666666"/>
            </w:tcBorders>
          </w:tcPr>
          <w:p>
            <w:pPr>
              <w:jc w:val="right"/>
              <w:spacing w:after="0"/>
              <w:rPr>
                <w:sz w:val="20"/>
                <w:szCs w:val="20"/>
                <w:color w:val="auto"/>
              </w:rPr>
            </w:pPr>
            <w:r>
              <w:rPr>
                <w:rFonts w:ascii="Arial" w:cs="Arial" w:eastAsia="Arial" w:hAnsi="Arial"/>
                <w:sz w:val="20"/>
                <w:szCs w:val="20"/>
                <w:color w:val="333333"/>
              </w:rPr>
              <w:t>134,837</w:t>
            </w:r>
          </w:p>
        </w:tc>
        <w:tc>
          <w:tcPr>
            <w:tcW w:w="2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gridSpan w:val="2"/>
          </w:tcPr>
          <w:p>
            <w:pPr>
              <w:spacing w:after="0"/>
              <w:rPr>
                <w:sz w:val="20"/>
                <w:szCs w:val="20"/>
                <w:color w:val="auto"/>
              </w:rPr>
            </w:pPr>
            <w:r>
              <w:rPr>
                <w:rFonts w:ascii="Arial" w:cs="Arial" w:eastAsia="Arial" w:hAnsi="Arial"/>
                <w:sz w:val="20"/>
                <w:szCs w:val="20"/>
                <w:color w:val="333333"/>
              </w:rPr>
              <w:t>Earnings per share:</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960" w:type="dxa"/>
            <w:vAlign w:val="bottom"/>
            <w:gridSpan w:val="2"/>
          </w:tcPr>
          <w:p>
            <w:pPr>
              <w:ind w:left="240"/>
              <w:spacing w:after="0"/>
              <w:rPr>
                <w:sz w:val="20"/>
                <w:szCs w:val="20"/>
                <w:color w:val="auto"/>
              </w:rPr>
            </w:pPr>
            <w:r>
              <w:rPr>
                <w:rFonts w:ascii="Arial" w:cs="Arial" w:eastAsia="Arial" w:hAnsi="Arial"/>
                <w:sz w:val="20"/>
                <w:szCs w:val="20"/>
                <w:color w:val="333333"/>
              </w:rPr>
              <w:t>Basic</w:t>
            </w:r>
          </w:p>
        </w:tc>
        <w:tc>
          <w:tcPr>
            <w:tcW w:w="3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7.46</w:t>
            </w:r>
          </w:p>
        </w:tc>
        <w:tc>
          <w:tcPr>
            <w:tcW w:w="4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6.99</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7.59</w:t>
            </w:r>
          </w:p>
        </w:tc>
        <w:tc>
          <w:tcPr>
            <w:tcW w:w="320" w:type="dxa"/>
            <w:vAlign w:val="bottom"/>
          </w:tcPr>
          <w:p>
            <w:pPr>
              <w:jc w:val="right"/>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3.73</w:t>
            </w:r>
          </w:p>
        </w:tc>
        <w:tc>
          <w:tcPr>
            <w:tcW w:w="40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880" w:type="dxa"/>
            <w:vAlign w:val="bottom"/>
          </w:tcPr>
          <w:p>
            <w:pPr>
              <w:jc w:val="right"/>
              <w:spacing w:after="0"/>
              <w:rPr>
                <w:sz w:val="20"/>
                <w:szCs w:val="20"/>
                <w:color w:val="auto"/>
              </w:rPr>
            </w:pPr>
            <w:r>
              <w:rPr>
                <w:rFonts w:ascii="Arial" w:cs="Arial" w:eastAsia="Arial" w:hAnsi="Arial"/>
                <w:sz w:val="20"/>
                <w:szCs w:val="20"/>
                <w:color w:val="333333"/>
              </w:rPr>
              <w:t>2.43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920" w:type="dxa"/>
            <w:vAlign w:val="bottom"/>
            <w:vMerge w:val="restart"/>
          </w:tcPr>
          <w:p>
            <w:pPr>
              <w:ind w:left="240"/>
              <w:spacing w:after="0"/>
              <w:rPr>
                <w:sz w:val="20"/>
                <w:szCs w:val="20"/>
                <w:color w:val="auto"/>
              </w:rPr>
            </w:pPr>
            <w:r>
              <w:rPr>
                <w:rFonts w:ascii="Arial" w:cs="Arial" w:eastAsia="Arial" w:hAnsi="Arial"/>
                <w:sz w:val="20"/>
                <w:szCs w:val="20"/>
                <w:color w:val="333333"/>
              </w:rPr>
              <w:t>Diluted</w:t>
            </w:r>
          </w:p>
        </w:tc>
        <w:tc>
          <w:tcPr>
            <w:tcW w:w="4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vMerge w:val="restart"/>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ind w:right="41"/>
              <w:spacing w:after="0"/>
              <w:rPr>
                <w:sz w:val="20"/>
                <w:szCs w:val="20"/>
                <w:color w:val="auto"/>
              </w:rPr>
            </w:pPr>
            <w:r>
              <w:rPr>
                <w:rFonts w:ascii="Arial" w:cs="Arial" w:eastAsia="Arial" w:hAnsi="Arial"/>
                <w:sz w:val="20"/>
                <w:szCs w:val="20"/>
                <w:color w:val="auto"/>
              </w:rPr>
              <w:t>6.95</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ind w:right="20"/>
              <w:spacing w:after="0"/>
              <w:rPr>
                <w:sz w:val="20"/>
                <w:szCs w:val="20"/>
                <w:color w:val="auto"/>
              </w:rPr>
            </w:pPr>
            <w:r>
              <w:rPr>
                <w:rFonts w:ascii="Arial" w:cs="Arial" w:eastAsia="Arial" w:hAnsi="Arial"/>
                <w:sz w:val="20"/>
                <w:szCs w:val="20"/>
                <w:color w:val="auto"/>
              </w:rPr>
              <w:t>7.56</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333333"/>
              </w:rPr>
              <w:t>$</w:t>
            </w:r>
          </w:p>
        </w:tc>
        <w:tc>
          <w:tcPr>
            <w:tcW w:w="1000" w:type="dxa"/>
            <w:vAlign w:val="bottom"/>
            <w:vMerge w:val="restart"/>
          </w:tcPr>
          <w:p>
            <w:pPr>
              <w:jc w:val="right"/>
              <w:ind w:right="20"/>
              <w:spacing w:after="0"/>
              <w:rPr>
                <w:sz w:val="20"/>
                <w:szCs w:val="20"/>
                <w:color w:val="auto"/>
              </w:rPr>
            </w:pPr>
            <w:r>
              <w:rPr>
                <w:rFonts w:ascii="Arial" w:cs="Arial" w:eastAsia="Arial" w:hAnsi="Arial"/>
                <w:sz w:val="20"/>
                <w:szCs w:val="20"/>
                <w:color w:val="333333"/>
              </w:rPr>
              <w:t>3.71</w:t>
            </w:r>
          </w:p>
        </w:tc>
        <w:tc>
          <w:tcPr>
            <w:tcW w:w="400" w:type="dxa"/>
            <w:vAlign w:val="bottom"/>
            <w:vMerge w:val="restart"/>
          </w:tcPr>
          <w:p>
            <w:pPr>
              <w:jc w:val="right"/>
              <w:ind w:right="40"/>
              <w:spacing w:after="0"/>
              <w:rPr>
                <w:sz w:val="20"/>
                <w:szCs w:val="20"/>
                <w:color w:val="auto"/>
              </w:rPr>
            </w:pPr>
            <w:r>
              <w:rPr>
                <w:rFonts w:ascii="Arial" w:cs="Arial" w:eastAsia="Arial" w:hAnsi="Arial"/>
                <w:sz w:val="20"/>
                <w:szCs w:val="20"/>
                <w:color w:val="333333"/>
              </w:rPr>
              <w:t>$</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333333"/>
              </w:rPr>
              <w:t>2.42</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392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380" w:type="dxa"/>
            <w:vAlign w:val="bottom"/>
            <w:shd w:val="clear" w:color="auto" w:fill="E6E6E6"/>
          </w:tcPr>
          <w:p>
            <w:pPr>
              <w:spacing w:after="0"/>
              <w:rPr>
                <w:sz w:val="6"/>
                <w:szCs w:val="6"/>
                <w:color w:val="auto"/>
              </w:rPr>
            </w:pPr>
          </w:p>
        </w:tc>
        <w:tc>
          <w:tcPr>
            <w:tcW w:w="900" w:type="dxa"/>
            <w:vAlign w:val="bottom"/>
            <w:shd w:val="clear" w:color="auto" w:fill="E6E6E6"/>
          </w:tcPr>
          <w:p>
            <w:pPr>
              <w:spacing w:after="0"/>
              <w:rPr>
                <w:sz w:val="6"/>
                <w:szCs w:val="6"/>
                <w:color w:val="auto"/>
              </w:rPr>
            </w:pPr>
          </w:p>
        </w:tc>
        <w:tc>
          <w:tcPr>
            <w:tcW w:w="4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3920" w:type="dxa"/>
            <w:vAlign w:val="bottom"/>
            <w:vMerge w:val="continue"/>
          </w:tcPr>
          <w:p>
            <w:pPr>
              <w:spacing w:after="0"/>
              <w:rPr>
                <w:sz w:val="23"/>
                <w:szCs w:val="23"/>
                <w:color w:val="auto"/>
              </w:rPr>
            </w:pPr>
          </w:p>
        </w:tc>
        <w:tc>
          <w:tcPr>
            <w:tcW w:w="40" w:type="dxa"/>
            <w:vAlign w:val="bottom"/>
            <w:tcBorders>
              <w:bottom w:val="single" w:sz="8" w:color="666666"/>
            </w:tcBorders>
            <w:vMerge w:val="continue"/>
          </w:tcPr>
          <w:p>
            <w:pPr>
              <w:spacing w:after="0"/>
              <w:rPr>
                <w:sz w:val="23"/>
                <w:szCs w:val="23"/>
                <w:color w:val="auto"/>
              </w:rPr>
            </w:pPr>
          </w:p>
        </w:tc>
        <w:tc>
          <w:tcPr>
            <w:tcW w:w="380" w:type="dxa"/>
            <w:vAlign w:val="bottom"/>
            <w:tcBorders>
              <w:bottom w:val="single" w:sz="8" w:color="666666"/>
            </w:tcBorders>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666666"/>
            </w:tcBorders>
          </w:tcPr>
          <w:p>
            <w:pPr>
              <w:jc w:val="right"/>
              <w:spacing w:after="0"/>
              <w:rPr>
                <w:sz w:val="20"/>
                <w:szCs w:val="20"/>
                <w:color w:val="auto"/>
              </w:rPr>
            </w:pPr>
            <w:r>
              <w:rPr>
                <w:rFonts w:ascii="Arial" w:cs="Arial" w:eastAsia="Arial" w:hAnsi="Arial"/>
                <w:sz w:val="20"/>
                <w:szCs w:val="20"/>
                <w:color w:val="auto"/>
              </w:rPr>
              <w:t>7.42</w:t>
            </w:r>
          </w:p>
        </w:tc>
        <w:tc>
          <w:tcPr>
            <w:tcW w:w="400" w:type="dxa"/>
            <w:vAlign w:val="bottom"/>
            <w:tcBorders>
              <w:bottom w:val="single" w:sz="8" w:color="666666"/>
            </w:tcBorders>
            <w:vMerge w:val="continue"/>
          </w:tcPr>
          <w:p>
            <w:pPr>
              <w:spacing w:after="0"/>
              <w:rPr>
                <w:sz w:val="23"/>
                <w:szCs w:val="23"/>
                <w:color w:val="auto"/>
              </w:rPr>
            </w:pPr>
          </w:p>
        </w:tc>
        <w:tc>
          <w:tcPr>
            <w:tcW w:w="980" w:type="dxa"/>
            <w:vAlign w:val="bottom"/>
            <w:tcBorders>
              <w:bottom w:val="single" w:sz="8" w:color="666666"/>
            </w:tcBorders>
            <w:vMerge w:val="continue"/>
          </w:tcPr>
          <w:p>
            <w:pPr>
              <w:spacing w:after="0"/>
              <w:rPr>
                <w:sz w:val="23"/>
                <w:szCs w:val="23"/>
                <w:color w:val="auto"/>
              </w:rPr>
            </w:pPr>
          </w:p>
        </w:tc>
        <w:tc>
          <w:tcPr>
            <w:tcW w:w="320" w:type="dxa"/>
            <w:vAlign w:val="bottom"/>
            <w:tcBorders>
              <w:bottom w:val="single" w:sz="8" w:color="666666"/>
            </w:tcBorders>
            <w:vMerge w:val="continue"/>
          </w:tcPr>
          <w:p>
            <w:pPr>
              <w:spacing w:after="0"/>
              <w:rPr>
                <w:sz w:val="23"/>
                <w:szCs w:val="23"/>
                <w:color w:val="auto"/>
              </w:rPr>
            </w:pPr>
          </w:p>
        </w:tc>
        <w:tc>
          <w:tcPr>
            <w:tcW w:w="980" w:type="dxa"/>
            <w:vAlign w:val="bottom"/>
            <w:tcBorders>
              <w:bottom w:val="single" w:sz="8" w:color="666666"/>
            </w:tcBorders>
            <w:vMerge w:val="continue"/>
          </w:tcPr>
          <w:p>
            <w:pPr>
              <w:spacing w:after="0"/>
              <w:rPr>
                <w:sz w:val="23"/>
                <w:szCs w:val="23"/>
                <w:color w:val="auto"/>
              </w:rPr>
            </w:pPr>
          </w:p>
        </w:tc>
        <w:tc>
          <w:tcPr>
            <w:tcW w:w="320" w:type="dxa"/>
            <w:vAlign w:val="bottom"/>
            <w:tcBorders>
              <w:bottom w:val="single" w:sz="8" w:color="666666"/>
            </w:tcBorders>
            <w:vMerge w:val="continue"/>
          </w:tcPr>
          <w:p>
            <w:pPr>
              <w:spacing w:after="0"/>
              <w:rPr>
                <w:sz w:val="23"/>
                <w:szCs w:val="23"/>
                <w:color w:val="auto"/>
              </w:rPr>
            </w:pPr>
          </w:p>
        </w:tc>
        <w:tc>
          <w:tcPr>
            <w:tcW w:w="1000" w:type="dxa"/>
            <w:vAlign w:val="bottom"/>
            <w:tcBorders>
              <w:bottom w:val="single" w:sz="8" w:color="666666"/>
            </w:tcBorders>
            <w:vMerge w:val="continue"/>
          </w:tcPr>
          <w:p>
            <w:pPr>
              <w:spacing w:after="0"/>
              <w:rPr>
                <w:sz w:val="23"/>
                <w:szCs w:val="23"/>
                <w:color w:val="auto"/>
              </w:rPr>
            </w:pPr>
          </w:p>
        </w:tc>
        <w:tc>
          <w:tcPr>
            <w:tcW w:w="400" w:type="dxa"/>
            <w:vAlign w:val="bottom"/>
            <w:tcBorders>
              <w:bottom w:val="single" w:sz="8" w:color="666666"/>
            </w:tcBorders>
            <w:vMerge w:val="continue"/>
          </w:tcPr>
          <w:p>
            <w:pPr>
              <w:spacing w:after="0"/>
              <w:rPr>
                <w:sz w:val="23"/>
                <w:szCs w:val="23"/>
                <w:color w:val="auto"/>
              </w:rPr>
            </w:pPr>
          </w:p>
        </w:tc>
        <w:tc>
          <w:tcPr>
            <w:tcW w:w="880" w:type="dxa"/>
            <w:vAlign w:val="bottom"/>
            <w:tcBorders>
              <w:bottom w:val="single" w:sz="8" w:color="666666"/>
            </w:tcBorders>
            <w:vMerge w:val="continue"/>
          </w:tcPr>
          <w:p>
            <w:pPr>
              <w:spacing w:after="0"/>
              <w:rPr>
                <w:sz w:val="23"/>
                <w:szCs w:val="23"/>
                <w:color w:val="auto"/>
              </w:rPr>
            </w:pPr>
          </w:p>
        </w:tc>
        <w:tc>
          <w:tcPr>
            <w:tcW w:w="20" w:type="dxa"/>
            <w:vAlign w:val="bottom"/>
            <w:tcBorders>
              <w:bottom w:val="single" w:sz="8" w:color="666666"/>
            </w:tcBorders>
          </w:tcPr>
          <w:p>
            <w:pPr>
              <w:spacing w:after="0"/>
              <w:rPr>
                <w:sz w:val="23"/>
                <w:szCs w:val="23"/>
                <w:color w:val="auto"/>
              </w:rPr>
            </w:pPr>
          </w:p>
        </w:tc>
        <w:tc>
          <w:tcPr>
            <w:tcW w:w="0" w:type="dxa"/>
            <w:vAlign w:val="bottom"/>
          </w:tcPr>
          <w:p>
            <w:pPr>
              <w:spacing w:after="0"/>
              <w:rPr>
                <w:sz w:val="1"/>
                <w:szCs w:val="1"/>
                <w:color w:val="auto"/>
              </w:rPr>
            </w:pPr>
          </w:p>
        </w:tc>
      </w:tr>
      <w:tr>
        <w:trPr>
          <w:trHeight w:val="576"/>
        </w:trPr>
        <w:tc>
          <w:tcPr>
            <w:tcW w:w="3960" w:type="dxa"/>
            <w:vAlign w:val="bottom"/>
            <w:gridSpan w:val="2"/>
          </w:tcPr>
          <w:p>
            <w:pPr>
              <w:spacing w:after="0"/>
              <w:rPr>
                <w:sz w:val="20"/>
                <w:szCs w:val="20"/>
                <w:color w:val="auto"/>
              </w:rPr>
            </w:pPr>
            <w:r>
              <w:rPr>
                <w:rFonts w:ascii="Arial" w:cs="Arial" w:eastAsia="Arial" w:hAnsi="Arial"/>
                <w:sz w:val="24"/>
                <w:szCs w:val="24"/>
                <w:b w:val="1"/>
                <w:bCs w:val="1"/>
                <w:color w:val="C10014"/>
              </w:rPr>
              <w:t>CASH FLOW DATA</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960" w:type="dxa"/>
            <w:vAlign w:val="bottom"/>
            <w:gridSpan w:val="2"/>
          </w:tcPr>
          <w:p>
            <w:pPr>
              <w:spacing w:after="0"/>
              <w:rPr>
                <w:sz w:val="20"/>
                <w:szCs w:val="20"/>
                <w:color w:val="auto"/>
              </w:rPr>
            </w:pPr>
            <w:r>
              <w:rPr>
                <w:rFonts w:ascii="Arial" w:cs="Arial" w:eastAsia="Arial" w:hAnsi="Arial"/>
                <w:sz w:val="20"/>
                <w:szCs w:val="20"/>
                <w:color w:val="333333"/>
              </w:rPr>
              <w:t>Net cash from operating activities</w:t>
            </w:r>
          </w:p>
        </w:tc>
        <w:tc>
          <w:tcPr>
            <w:tcW w:w="3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777,771</w:t>
            </w:r>
          </w:p>
        </w:tc>
        <w:tc>
          <w:tcPr>
            <w:tcW w:w="4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734,552</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626,214</w:t>
            </w:r>
          </w:p>
        </w:tc>
        <w:tc>
          <w:tcPr>
            <w:tcW w:w="320" w:type="dxa"/>
            <w:vAlign w:val="bottom"/>
          </w:tcPr>
          <w:p>
            <w:pPr>
              <w:jc w:val="right"/>
              <w:ind w:right="20"/>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545,997</w:t>
            </w:r>
          </w:p>
        </w:tc>
        <w:tc>
          <w:tcPr>
            <w:tcW w:w="400" w:type="dxa"/>
            <w:vAlign w:val="bottom"/>
          </w:tcPr>
          <w:p>
            <w:pPr>
              <w:jc w:val="right"/>
              <w:ind w:right="60"/>
              <w:spacing w:after="0"/>
              <w:rPr>
                <w:sz w:val="20"/>
                <w:szCs w:val="20"/>
                <w:color w:val="auto"/>
              </w:rPr>
            </w:pPr>
            <w:r>
              <w:rPr>
                <w:rFonts w:ascii="Arial" w:cs="Arial" w:eastAsia="Arial" w:hAnsi="Arial"/>
                <w:sz w:val="20"/>
                <w:szCs w:val="20"/>
                <w:color w:val="333333"/>
              </w:rPr>
              <w:t>$</w:t>
            </w:r>
          </w:p>
        </w:tc>
        <w:tc>
          <w:tcPr>
            <w:tcW w:w="880" w:type="dxa"/>
            <w:vAlign w:val="bottom"/>
          </w:tcPr>
          <w:p>
            <w:pPr>
              <w:jc w:val="right"/>
              <w:spacing w:after="0"/>
              <w:rPr>
                <w:sz w:val="20"/>
                <w:szCs w:val="20"/>
                <w:color w:val="auto"/>
              </w:rPr>
            </w:pPr>
            <w:r>
              <w:rPr>
                <w:rFonts w:ascii="Arial" w:cs="Arial" w:eastAsia="Arial" w:hAnsi="Arial"/>
                <w:sz w:val="20"/>
                <w:szCs w:val="20"/>
                <w:color w:val="333333"/>
              </w:rPr>
              <w:t>430,597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Net cash used in investing activities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93"/>
              </w:rPr>
              <w:t>(903,674)</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w w:val="95"/>
              </w:rPr>
              <w:t>(575,050)</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8"/>
              </w:rPr>
              <w:t>(388,944)</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84"/>
              </w:rPr>
              <w:t>(1,507,602)</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w w:val="93"/>
              </w:rPr>
              <w:t>(199,460)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Net cash from (used in) financing activities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377,032</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w w:val="95"/>
              </w:rPr>
              <w:t>(208,891)</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8"/>
              </w:rPr>
              <w:t>(187,315)</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898,249</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rPr>
              <w:t>(88,946)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9"/>
        </w:trPr>
        <w:tc>
          <w:tcPr>
            <w:tcW w:w="3960" w:type="dxa"/>
            <w:vAlign w:val="bottom"/>
            <w:gridSpan w:val="2"/>
          </w:tcPr>
          <w:p>
            <w:pPr>
              <w:spacing w:after="0"/>
              <w:rPr>
                <w:sz w:val="20"/>
                <w:szCs w:val="20"/>
                <w:color w:val="auto"/>
              </w:rPr>
            </w:pPr>
            <w:r>
              <w:rPr>
                <w:rFonts w:ascii="Arial" w:cs="Arial" w:eastAsia="Arial" w:hAnsi="Arial"/>
                <w:sz w:val="24"/>
                <w:szCs w:val="24"/>
                <w:b w:val="1"/>
                <w:bCs w:val="1"/>
                <w:color w:val="C10014"/>
              </w:rPr>
              <w:t>OTHER FINANCIAL DATA</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960" w:type="dxa"/>
            <w:vAlign w:val="bottom"/>
            <w:gridSpan w:val="2"/>
          </w:tcPr>
          <w:p>
            <w:pPr>
              <w:spacing w:after="0"/>
              <w:rPr>
                <w:sz w:val="20"/>
                <w:szCs w:val="20"/>
                <w:color w:val="auto"/>
              </w:rPr>
            </w:pPr>
            <w:r>
              <w:rPr>
                <w:rFonts w:ascii="Arial" w:cs="Arial" w:eastAsia="Arial" w:hAnsi="Arial"/>
                <w:sz w:val="20"/>
                <w:szCs w:val="20"/>
                <w:color w:val="333333"/>
              </w:rPr>
              <w:t>Adjusted EBITDA (1)</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89"/>
              </w:rPr>
              <w:t>1,116,934</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w w:val="92"/>
              </w:rPr>
              <w:t>1,012,570</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4"/>
              </w:rPr>
              <w:t>1,022,128</w:t>
            </w:r>
          </w:p>
        </w:tc>
        <w:tc>
          <w:tcPr>
            <w:tcW w:w="320" w:type="dxa"/>
            <w:vAlign w:val="bottom"/>
          </w:tcPr>
          <w:p>
            <w:pPr>
              <w:jc w:val="right"/>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676,606</w:t>
            </w:r>
          </w:p>
        </w:tc>
        <w:tc>
          <w:tcPr>
            <w:tcW w:w="400" w:type="dxa"/>
            <w:vAlign w:val="bottom"/>
          </w:tcPr>
          <w:p>
            <w:pPr>
              <w:jc w:val="right"/>
              <w:ind w:right="80"/>
              <w:spacing w:after="0"/>
              <w:rPr>
                <w:sz w:val="20"/>
                <w:szCs w:val="20"/>
                <w:color w:val="auto"/>
              </w:rPr>
            </w:pPr>
            <w:r>
              <w:rPr>
                <w:rFonts w:ascii="Arial" w:cs="Arial" w:eastAsia="Arial" w:hAnsi="Arial"/>
                <w:sz w:val="20"/>
                <w:szCs w:val="20"/>
                <w:color w:val="333333"/>
              </w:rPr>
              <w:t>$</w:t>
            </w:r>
          </w:p>
        </w:tc>
        <w:tc>
          <w:tcPr>
            <w:tcW w:w="880" w:type="dxa"/>
            <w:vAlign w:val="bottom"/>
          </w:tcPr>
          <w:p>
            <w:pPr>
              <w:jc w:val="right"/>
              <w:spacing w:after="0"/>
              <w:rPr>
                <w:sz w:val="20"/>
                <w:szCs w:val="20"/>
                <w:color w:val="auto"/>
              </w:rPr>
            </w:pPr>
            <w:r>
              <w:rPr>
                <w:rFonts w:ascii="Arial" w:cs="Arial" w:eastAsia="Arial" w:hAnsi="Arial"/>
                <w:sz w:val="20"/>
                <w:szCs w:val="20"/>
                <w:color w:val="333333"/>
              </w:rPr>
              <w:t>573,804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Adjusted Free Cash Flow (2)</w:t>
            </w:r>
          </w:p>
        </w:tc>
        <w:tc>
          <w:tcPr>
            <w:tcW w:w="3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357,882</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321,902</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289,937</w:t>
            </w:r>
          </w:p>
        </w:tc>
        <w:tc>
          <w:tcPr>
            <w:tcW w:w="320" w:type="dxa"/>
            <w:vAlign w:val="bottom"/>
          </w:tcPr>
          <w:p>
            <w:pPr>
              <w:jc w:val="right"/>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326,297</w:t>
            </w:r>
          </w:p>
        </w:tc>
        <w:tc>
          <w:tcPr>
            <w:tcW w:w="400" w:type="dxa"/>
            <w:vAlign w:val="bottom"/>
          </w:tcPr>
          <w:p>
            <w:pPr>
              <w:jc w:val="right"/>
              <w:ind w:right="80"/>
              <w:spacing w:after="0"/>
              <w:rPr>
                <w:sz w:val="20"/>
                <w:szCs w:val="20"/>
                <w:color w:val="auto"/>
              </w:rPr>
            </w:pPr>
            <w:r>
              <w:rPr>
                <w:rFonts w:ascii="Arial" w:cs="Arial" w:eastAsia="Arial" w:hAnsi="Arial"/>
                <w:sz w:val="20"/>
                <w:szCs w:val="20"/>
                <w:color w:val="333333"/>
              </w:rPr>
              <w:t>$</w:t>
            </w:r>
          </w:p>
        </w:tc>
        <w:tc>
          <w:tcPr>
            <w:tcW w:w="880" w:type="dxa"/>
            <w:vAlign w:val="bottom"/>
          </w:tcPr>
          <w:p>
            <w:pPr>
              <w:jc w:val="right"/>
              <w:spacing w:after="0"/>
              <w:rPr>
                <w:sz w:val="20"/>
                <w:szCs w:val="20"/>
                <w:color w:val="auto"/>
              </w:rPr>
            </w:pPr>
            <w:r>
              <w:rPr>
                <w:rFonts w:ascii="Arial" w:cs="Arial" w:eastAsia="Arial" w:hAnsi="Arial"/>
                <w:sz w:val="20"/>
                <w:szCs w:val="20"/>
                <w:color w:val="333333"/>
              </w:rPr>
              <w:t>265,044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right"/>
              <w:ind w:right="700"/>
              <w:spacing w:after="0"/>
              <w:rPr>
                <w:sz w:val="20"/>
                <w:szCs w:val="20"/>
                <w:color w:val="auto"/>
              </w:rPr>
            </w:pPr>
            <w:r>
              <w:rPr>
                <w:rFonts w:ascii="Arial" w:cs="Arial" w:eastAsia="Arial" w:hAnsi="Arial"/>
                <w:sz w:val="16"/>
                <w:szCs w:val="16"/>
                <w:color w:val="333333"/>
              </w:rPr>
              <w:t>As of December 31 ( in thousands )</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3960" w:type="dxa"/>
            <w:vAlign w:val="bottom"/>
            <w:gridSpan w:val="2"/>
            <w:vMerge w:val="restart"/>
          </w:tcPr>
          <w:p>
            <w:pPr>
              <w:spacing w:after="0"/>
              <w:rPr>
                <w:sz w:val="20"/>
                <w:szCs w:val="20"/>
                <w:color w:val="auto"/>
              </w:rPr>
            </w:pPr>
            <w:r>
              <w:rPr>
                <w:rFonts w:ascii="Arial" w:cs="Arial" w:eastAsia="Arial" w:hAnsi="Arial"/>
                <w:sz w:val="24"/>
                <w:szCs w:val="24"/>
                <w:b w:val="1"/>
                <w:bCs w:val="1"/>
                <w:color w:val="C10014"/>
              </w:rPr>
              <w:t>BALANCE SHEET DATA</w:t>
            </w: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3960" w:type="dxa"/>
            <w:vAlign w:val="bottom"/>
            <w:gridSpan w:val="2"/>
            <w:vMerge w:val="continue"/>
          </w:tcPr>
          <w:p>
            <w:pPr>
              <w:spacing w:after="0"/>
              <w:rPr>
                <w:sz w:val="6"/>
                <w:szCs w:val="6"/>
                <w:color w:val="auto"/>
              </w:rPr>
            </w:pPr>
          </w:p>
        </w:tc>
        <w:tc>
          <w:tcPr>
            <w:tcW w:w="380" w:type="dxa"/>
            <w:vAlign w:val="bottom"/>
            <w:shd w:val="clear" w:color="auto" w:fill="C10014"/>
          </w:tcPr>
          <w:p>
            <w:pPr>
              <w:spacing w:after="0"/>
              <w:rPr>
                <w:sz w:val="6"/>
                <w:szCs w:val="6"/>
                <w:color w:val="auto"/>
              </w:rPr>
            </w:pPr>
          </w:p>
        </w:tc>
        <w:tc>
          <w:tcPr>
            <w:tcW w:w="900" w:type="dxa"/>
            <w:vAlign w:val="bottom"/>
            <w:shd w:val="clear" w:color="auto" w:fill="C10014"/>
          </w:tcPr>
          <w:p>
            <w:pPr>
              <w:spacing w:after="0"/>
              <w:rPr>
                <w:sz w:val="6"/>
                <w:szCs w:val="6"/>
                <w:color w:val="auto"/>
              </w:rPr>
            </w:pPr>
          </w:p>
        </w:tc>
        <w:tc>
          <w:tcPr>
            <w:tcW w:w="400" w:type="dxa"/>
            <w:vAlign w:val="bottom"/>
            <w:shd w:val="clear" w:color="auto" w:fill="C10014"/>
          </w:tcPr>
          <w:p>
            <w:pPr>
              <w:spacing w:after="0"/>
              <w:rPr>
                <w:sz w:val="6"/>
                <w:szCs w:val="6"/>
                <w:color w:val="auto"/>
              </w:rPr>
            </w:pPr>
          </w:p>
        </w:tc>
        <w:tc>
          <w:tcPr>
            <w:tcW w:w="980" w:type="dxa"/>
            <w:vAlign w:val="bottom"/>
            <w:shd w:val="clear" w:color="auto" w:fill="C10014"/>
          </w:tcPr>
          <w:p>
            <w:pPr>
              <w:spacing w:after="0"/>
              <w:rPr>
                <w:sz w:val="6"/>
                <w:szCs w:val="6"/>
                <w:color w:val="auto"/>
              </w:rPr>
            </w:pPr>
          </w:p>
        </w:tc>
        <w:tc>
          <w:tcPr>
            <w:tcW w:w="320" w:type="dxa"/>
            <w:vAlign w:val="bottom"/>
            <w:shd w:val="clear" w:color="auto" w:fill="C10014"/>
          </w:tcPr>
          <w:p>
            <w:pPr>
              <w:spacing w:after="0"/>
              <w:rPr>
                <w:sz w:val="6"/>
                <w:szCs w:val="6"/>
                <w:color w:val="auto"/>
              </w:rPr>
            </w:pPr>
          </w:p>
        </w:tc>
        <w:tc>
          <w:tcPr>
            <w:tcW w:w="980" w:type="dxa"/>
            <w:vAlign w:val="bottom"/>
            <w:shd w:val="clear" w:color="auto" w:fill="C10014"/>
          </w:tcPr>
          <w:p>
            <w:pPr>
              <w:spacing w:after="0"/>
              <w:rPr>
                <w:sz w:val="6"/>
                <w:szCs w:val="6"/>
                <w:color w:val="auto"/>
              </w:rPr>
            </w:pPr>
          </w:p>
        </w:tc>
        <w:tc>
          <w:tcPr>
            <w:tcW w:w="320" w:type="dxa"/>
            <w:vAlign w:val="bottom"/>
            <w:shd w:val="clear" w:color="auto" w:fill="C10014"/>
          </w:tcPr>
          <w:p>
            <w:pPr>
              <w:spacing w:after="0"/>
              <w:rPr>
                <w:sz w:val="6"/>
                <w:szCs w:val="6"/>
                <w:color w:val="auto"/>
              </w:rPr>
            </w:pPr>
          </w:p>
        </w:tc>
        <w:tc>
          <w:tcPr>
            <w:tcW w:w="1000" w:type="dxa"/>
            <w:vAlign w:val="bottom"/>
            <w:shd w:val="clear" w:color="auto" w:fill="C10014"/>
          </w:tcPr>
          <w:p>
            <w:pPr>
              <w:spacing w:after="0"/>
              <w:rPr>
                <w:sz w:val="6"/>
                <w:szCs w:val="6"/>
                <w:color w:val="auto"/>
              </w:rPr>
            </w:pPr>
          </w:p>
        </w:tc>
        <w:tc>
          <w:tcPr>
            <w:tcW w:w="400" w:type="dxa"/>
            <w:vAlign w:val="bottom"/>
            <w:shd w:val="clear" w:color="auto" w:fill="C10014"/>
          </w:tcPr>
          <w:p>
            <w:pPr>
              <w:spacing w:after="0"/>
              <w:rPr>
                <w:sz w:val="6"/>
                <w:szCs w:val="6"/>
                <w:color w:val="auto"/>
              </w:rPr>
            </w:pPr>
          </w:p>
        </w:tc>
        <w:tc>
          <w:tcPr>
            <w:tcW w:w="880" w:type="dxa"/>
            <w:vAlign w:val="bottom"/>
            <w:shd w:val="clear" w:color="auto" w:fill="C10014"/>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39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FFFFFF"/>
              </w:rPr>
              <w:t>2024</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b w:val="1"/>
                <w:bCs w:val="1"/>
                <w:color w:val="FFFFFF"/>
              </w:rPr>
              <w:t>2023</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b w:val="1"/>
                <w:bCs w:val="1"/>
                <w:color w:val="FFFFFF"/>
              </w:rPr>
              <w:t>2022</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b w:val="1"/>
                <w:bCs w:val="1"/>
                <w:color w:val="FFFFFF"/>
              </w:rPr>
              <w:t>2021</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FFFFFF"/>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gridSpan w:val="2"/>
          </w:tcPr>
          <w:p>
            <w:pPr>
              <w:spacing w:after="0"/>
              <w:rPr>
                <w:sz w:val="20"/>
                <w:szCs w:val="20"/>
                <w:color w:val="auto"/>
              </w:rPr>
            </w:pPr>
            <w:r>
              <w:rPr>
                <w:rFonts w:ascii="Arial" w:cs="Arial" w:eastAsia="Arial" w:hAnsi="Arial"/>
                <w:sz w:val="20"/>
                <w:szCs w:val="20"/>
                <w:color w:val="333333"/>
              </w:rPr>
              <w:t>Working capital</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89"/>
              </w:rPr>
              <w:t>1,331,130</w:t>
            </w:r>
          </w:p>
        </w:tc>
        <w:tc>
          <w:tcPr>
            <w:tcW w:w="4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w w:val="92"/>
              </w:rPr>
              <w:t>1,014,682</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4"/>
              </w:rPr>
              <w:t>1,013,667</w:t>
            </w:r>
          </w:p>
        </w:tc>
        <w:tc>
          <w:tcPr>
            <w:tcW w:w="320" w:type="dxa"/>
            <w:vAlign w:val="bottom"/>
          </w:tcPr>
          <w:p>
            <w:pPr>
              <w:jc w:val="right"/>
              <w:spacing w:after="0"/>
              <w:rPr>
                <w:sz w:val="20"/>
                <w:szCs w:val="20"/>
                <w:color w:val="auto"/>
              </w:rPr>
            </w:pPr>
            <w:r>
              <w:rPr>
                <w:rFonts w:ascii="Arial" w:cs="Arial" w:eastAsia="Arial" w:hAnsi="Arial"/>
                <w:sz w:val="20"/>
                <w:szCs w:val="20"/>
                <w:color w:val="333333"/>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rPr>
              <w:t>815,857</w:t>
            </w:r>
          </w:p>
        </w:tc>
        <w:tc>
          <w:tcPr>
            <w:tcW w:w="400" w:type="dxa"/>
            <w:vAlign w:val="bottom"/>
          </w:tcPr>
          <w:p>
            <w:pPr>
              <w:jc w:val="right"/>
              <w:ind w:right="100"/>
              <w:spacing w:after="0"/>
              <w:rPr>
                <w:sz w:val="20"/>
                <w:szCs w:val="20"/>
                <w:color w:val="auto"/>
              </w:rPr>
            </w:pPr>
            <w:r>
              <w:rPr>
                <w:rFonts w:ascii="Arial" w:cs="Arial" w:eastAsia="Arial" w:hAnsi="Arial"/>
                <w:sz w:val="20"/>
                <w:szCs w:val="20"/>
                <w:color w:val="333333"/>
              </w:rPr>
              <w:t>$</w:t>
            </w:r>
          </w:p>
        </w:tc>
        <w:tc>
          <w:tcPr>
            <w:tcW w:w="880" w:type="dxa"/>
            <w:vAlign w:val="bottom"/>
          </w:tcPr>
          <w:p>
            <w:pPr>
              <w:jc w:val="right"/>
              <w:spacing w:after="0"/>
              <w:rPr>
                <w:sz w:val="20"/>
                <w:szCs w:val="20"/>
                <w:color w:val="auto"/>
              </w:rPr>
            </w:pPr>
            <w:r>
              <w:rPr>
                <w:rFonts w:ascii="Arial" w:cs="Arial" w:eastAsia="Arial" w:hAnsi="Arial"/>
                <w:sz w:val="20"/>
                <w:szCs w:val="20"/>
                <w:color w:val="333333"/>
              </w:rPr>
              <w:t>889,577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Total assets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7,377,278</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w w:val="92"/>
              </w:rPr>
              <w:t>6,382,869</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4"/>
              </w:rPr>
              <w:t>6,129,707</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96"/>
              </w:rPr>
              <w:t>5,653,699</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w w:val="87"/>
              </w:rPr>
              <w:t>4,131,520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Long-term debt (including current portion)</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2,786,219</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w w:val="92"/>
              </w:rPr>
              <w:t>2,301,717</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4"/>
              </w:rPr>
              <w:t>2,424,828</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96"/>
              </w:rPr>
              <w:t>2,534,559</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w w:val="87"/>
              </w:rPr>
              <w:t>1,557,176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60" w:type="dxa"/>
            <w:vAlign w:val="bottom"/>
            <w:gridSpan w:val="2"/>
          </w:tcPr>
          <w:p>
            <w:pPr>
              <w:spacing w:after="0"/>
              <w:rPr>
                <w:sz w:val="20"/>
                <w:szCs w:val="20"/>
                <w:color w:val="auto"/>
              </w:rPr>
            </w:pPr>
            <w:r>
              <w:rPr>
                <w:rFonts w:ascii="Arial" w:cs="Arial" w:eastAsia="Arial" w:hAnsi="Arial"/>
                <w:sz w:val="20"/>
                <w:szCs w:val="20"/>
                <w:color w:val="333333"/>
              </w:rPr>
              <w:t>Stockholders' equity</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2,573,529</w:t>
            </w:r>
          </w:p>
        </w:tc>
        <w:tc>
          <w:tcPr>
            <w:tcW w:w="4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20"/>
                <w:szCs w:val="20"/>
                <w:color w:val="auto"/>
                <w:w w:val="92"/>
              </w:rPr>
              <w:t>2,247,506</w:t>
            </w:r>
          </w:p>
        </w:tc>
        <w:tc>
          <w:tcPr>
            <w:tcW w:w="32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4"/>
              </w:rPr>
              <w:t>1,922,322</w:t>
            </w:r>
          </w:p>
        </w:tc>
        <w:tc>
          <w:tcPr>
            <w:tcW w:w="3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333333"/>
                <w:w w:val="96"/>
              </w:rPr>
              <w:t>1,513,887</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333333"/>
                <w:w w:val="87"/>
              </w:rPr>
              <w:t>1,341,551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-6802120</wp:posOffset>
            </wp:positionV>
            <wp:extent cx="4229100" cy="6843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29100" cy="6843395"/>
                    </a:xfrm>
                    <a:prstGeom prst="rect">
                      <a:avLst/>
                    </a:prstGeom>
                    <a:noFill/>
                  </pic:spPr>
                </pic:pic>
              </a:graphicData>
            </a:graphic>
          </wp:anchor>
        </w:drawing>
      </w:r>
    </w:p>
    <w:p>
      <w:pPr>
        <w:spacing w:after="0" w:line="385" w:lineRule="exact"/>
        <w:rPr>
          <w:sz w:val="20"/>
          <w:szCs w:val="20"/>
          <w:color w:val="auto"/>
        </w:rPr>
      </w:pPr>
    </w:p>
    <w:p>
      <w:pPr>
        <w:ind w:left="180" w:right="180" w:hanging="180"/>
        <w:spacing w:after="0" w:line="298" w:lineRule="auto"/>
        <w:tabs>
          <w:tab w:leader="none" w:pos="180" w:val="left"/>
        </w:tabs>
        <w:numPr>
          <w:ilvl w:val="0"/>
          <w:numId w:val="3"/>
        </w:numPr>
        <w:rPr>
          <w:rFonts w:ascii="Arial" w:cs="Arial" w:eastAsia="Arial" w:hAnsi="Arial"/>
          <w:sz w:val="14"/>
          <w:szCs w:val="14"/>
          <w:i w:val="1"/>
          <w:iCs w:val="1"/>
          <w:color w:val="333333"/>
        </w:rPr>
      </w:pPr>
      <w:r>
        <w:rPr>
          <w:rFonts w:ascii="Arial" w:cs="Arial" w:eastAsia="Arial" w:hAnsi="Arial"/>
          <w:sz w:val="14"/>
          <w:szCs w:val="14"/>
          <w:i w:val="1"/>
          <w:iCs w:val="1"/>
          <w:color w:val="333333"/>
        </w:rPr>
        <w:t>See “Adjusted EBITDA” under Item 7, “Management Discussion and Analysis” on page 36 of the Annual Report on Form 10-K, incorporated herein, for a reconciliation of net income to Adjusted EBITDA for 2024, 2023 and 2022. Reconciliations for the years prior to that can be found in the Annual Report on Form 10-K for 2021. Beginning in the first quarter of 2021, we revised our calculation of reported Adjusted EBITDA to add back stock-based compensation, a non-cash item, to other charges which are added back to GAAP net income for purposes of calculating Adjusted EBITDA. Amounts above for 2020 have been recast</w:t>
      </w:r>
    </w:p>
    <w:p>
      <w:pPr>
        <w:ind w:left="180" w:right="360"/>
        <w:spacing w:after="0" w:line="256" w:lineRule="auto"/>
        <w:rPr>
          <w:rFonts w:ascii="Arial" w:cs="Arial" w:eastAsia="Arial" w:hAnsi="Arial"/>
          <w:sz w:val="14"/>
          <w:szCs w:val="14"/>
          <w:i w:val="1"/>
          <w:iCs w:val="1"/>
          <w:color w:val="333333"/>
        </w:rPr>
      </w:pPr>
      <w:r>
        <w:rPr>
          <w:rFonts w:ascii="Arial" w:cs="Arial" w:eastAsia="Arial" w:hAnsi="Arial"/>
          <w:sz w:val="16"/>
          <w:szCs w:val="16"/>
          <w:i w:val="1"/>
          <w:iCs w:val="1"/>
          <w:color w:val="333333"/>
        </w:rPr>
        <w:t>to provide comparative information by adding back the stock-based compensation balance per the respective period’s cash flow to the previously disclosed Adjusted EBITDA balance.</w:t>
      </w:r>
    </w:p>
    <w:p>
      <w:pPr>
        <w:spacing w:after="0" w:line="47" w:lineRule="exact"/>
        <w:rPr>
          <w:rFonts w:ascii="Arial" w:cs="Arial" w:eastAsia="Arial" w:hAnsi="Arial"/>
          <w:sz w:val="14"/>
          <w:szCs w:val="14"/>
          <w:i w:val="1"/>
          <w:iCs w:val="1"/>
          <w:color w:val="333333"/>
        </w:rPr>
      </w:pPr>
    </w:p>
    <w:p>
      <w:pPr>
        <w:ind w:left="180" w:right="80" w:hanging="180"/>
        <w:spacing w:after="0" w:line="258" w:lineRule="auto"/>
        <w:tabs>
          <w:tab w:leader="none" w:pos="218" w:val="left"/>
        </w:tabs>
        <w:numPr>
          <w:ilvl w:val="0"/>
          <w:numId w:val="3"/>
        </w:numPr>
        <w:rPr>
          <w:rFonts w:ascii="Arial" w:cs="Arial" w:eastAsia="Arial" w:hAnsi="Arial"/>
          <w:sz w:val="16"/>
          <w:szCs w:val="16"/>
          <w:i w:val="1"/>
          <w:iCs w:val="1"/>
          <w:color w:val="333333"/>
        </w:rPr>
      </w:pPr>
      <w:r>
        <w:rPr>
          <w:rFonts w:ascii="Arial" w:cs="Arial" w:eastAsia="Arial" w:hAnsi="Arial"/>
          <w:sz w:val="16"/>
          <w:szCs w:val="16"/>
          <w:i w:val="1"/>
          <w:iCs w:val="1"/>
          <w:color w:val="333333"/>
        </w:rPr>
        <w:t>See “Adjusted Free Cash Flow” under Item 7, “Management Discussion and Analysis” on page 40 of the Annual Report on Form 10-K, incorporated herein, for a reconciliation of net cash from operating activities to Adjusted Free Cash Flow for 2024, 2023 and 2022. Reconcilations for years prior to that can be found in the Annual Reports on Form 10-K for the respective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87630</wp:posOffset>
            </wp:positionV>
            <wp:extent cx="775970" cy="258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5970" cy="25844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56515</wp:posOffset>
            </wp:positionV>
            <wp:extent cx="374650" cy="349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4650" cy="34988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r>
              <w:rPr>
                <w:rFonts w:ascii="Arial" w:cs="Arial" w:eastAsia="Arial" w:hAnsi="Arial"/>
                <w:sz w:val="20"/>
                <w:szCs w:val="20"/>
                <w:b w:val="1"/>
                <w:bCs w:val="1"/>
                <w:color w:val="333333"/>
              </w:rPr>
              <w:t>CLEAN HARBORS, INC. | ANNUAL REPORT 2024</w:t>
            </w:r>
          </w:p>
        </w:tc>
        <w:tc>
          <w:tcPr>
            <w:tcW w:w="480" w:type="dxa"/>
            <w:vAlign w:val="bottom"/>
          </w:tcPr>
          <w:p>
            <w:pPr>
              <w:jc w:val="right"/>
              <w:spacing w:after="0"/>
              <w:rPr>
                <w:sz w:val="20"/>
                <w:szCs w:val="20"/>
                <w:color w:val="auto"/>
              </w:rPr>
            </w:pPr>
            <w:r>
              <w:rPr>
                <w:rFonts w:ascii="Arial" w:cs="Arial" w:eastAsia="Arial" w:hAnsi="Arial"/>
                <w:sz w:val="20"/>
                <w:szCs w:val="20"/>
                <w:color w:val="666666"/>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210820</wp:posOffset>
            </wp:positionV>
            <wp:extent cx="4763" cy="4763"/>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210820</wp:posOffset>
            </wp:positionV>
            <wp:extent cx="4763" cy="4763"/>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1880" w:h="15481" w:orient="portrait"/>
          <w:cols w:equalWidth="0" w:num="1">
            <w:col w:w="10620"/>
          </w:cols>
          <w:pgMar w:left="720" w:top="677" w:right="541" w:bottom="0" w:gutter="0" w:footer="0" w:header="0"/>
        </w:sectPr>
      </w:pPr>
    </w:p>
    <w:bookmarkStart w:id="5" w:name="page6"/>
    <w:bookmarkEnd w:id="5"/>
    <w:p>
      <w:pPr>
        <w:spacing w:after="0"/>
        <w:rPr>
          <w:sz w:val="20"/>
          <w:szCs w:val="20"/>
          <w:color w:val="auto"/>
        </w:rPr>
      </w:pPr>
      <w:r>
        <w:rPr>
          <w:rFonts w:ascii="Arial" w:cs="Arial" w:eastAsia="Arial" w:hAnsi="Arial"/>
          <w:sz w:val="30"/>
          <w:szCs w:val="30"/>
          <w:color w:val="333333"/>
        </w:rPr>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7539990</wp:posOffset>
            </wp:positionH>
            <wp:positionV relativeFrom="page">
              <wp:posOffset>0</wp:posOffset>
            </wp:positionV>
            <wp:extent cx="4763" cy="4763"/>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3" cy="4763"/>
                    </a:xfrm>
                    <a:prstGeom prst="rect">
                      <a:avLst/>
                    </a:prstGeom>
                    <a:noFill/>
                  </pic:spPr>
                </pic:pic>
              </a:graphicData>
            </a:graphic>
          </wp:anchor>
        </w:drawing>
        <w:t>EXECUTIVE OFFICERS &amp; DIRECTORS</w:t>
      </w:r>
    </w:p>
    <w:p>
      <w:pPr>
        <w:spacing w:after="0" w:line="384" w:lineRule="exact"/>
        <w:rPr>
          <w:sz w:val="20"/>
          <w:szCs w:val="20"/>
          <w:color w:val="auto"/>
        </w:rPr>
      </w:pPr>
    </w:p>
    <w:p>
      <w:pPr>
        <w:spacing w:after="0"/>
        <w:rPr>
          <w:sz w:val="20"/>
          <w:szCs w:val="20"/>
          <w:color w:val="auto"/>
        </w:rPr>
      </w:pPr>
      <w:r>
        <w:rPr>
          <w:rFonts w:ascii="Arial" w:cs="Arial" w:eastAsia="Arial" w:hAnsi="Arial"/>
          <w:sz w:val="24"/>
          <w:szCs w:val="24"/>
          <w:b w:val="1"/>
          <w:bCs w:val="1"/>
          <w:color w:val="C10014"/>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74930</wp:posOffset>
            </wp:positionV>
            <wp:extent cx="662940" cy="662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940" cy="662940"/>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74930</wp:posOffset>
            </wp:positionV>
            <wp:extent cx="662940" cy="662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2940" cy="66294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86995</wp:posOffset>
            </wp:positionV>
            <wp:extent cx="662940" cy="662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940" cy="662940"/>
                    </a:xfrm>
                    <a:prstGeom prst="rect">
                      <a:avLst/>
                    </a:prstGeom>
                    <a:noFill/>
                  </pic:spPr>
                </pic:pic>
              </a:graphicData>
            </a:graphic>
          </wp:anchor>
        </w:drawing>
      </w:r>
    </w:p>
    <w:p>
      <w:pPr>
        <w:spacing w:after="0" w:line="160" w:lineRule="exact"/>
        <w:rPr>
          <w:sz w:val="20"/>
          <w:szCs w:val="20"/>
          <w:color w:val="auto"/>
        </w:rPr>
      </w:pPr>
    </w:p>
    <w:tbl>
      <w:tblPr>
        <w:tblLayout w:type="fixed"/>
        <w:tblInd w:w="1240" w:type="dxa"/>
        <w:tblCellMar>
          <w:top w:w="0" w:type="dxa"/>
          <w:left w:w="0" w:type="dxa"/>
          <w:bottom w:w="0" w:type="dxa"/>
          <w:right w:w="0" w:type="dxa"/>
        </w:tblCellMar>
      </w:tblPr>
      <w:tr>
        <w:trPr>
          <w:trHeight w:val="240"/>
        </w:trPr>
        <w:tc>
          <w:tcPr>
            <w:tcW w:w="2860" w:type="dxa"/>
            <w:vAlign w:val="bottom"/>
          </w:tcPr>
          <w:p>
            <w:pPr>
              <w:spacing w:after="0"/>
              <w:rPr>
                <w:sz w:val="20"/>
                <w:szCs w:val="20"/>
                <w:color w:val="auto"/>
              </w:rPr>
            </w:pPr>
            <w:r>
              <w:rPr>
                <w:rFonts w:ascii="Arial" w:cs="Arial" w:eastAsia="Arial" w:hAnsi="Arial"/>
                <w:sz w:val="20"/>
                <w:szCs w:val="20"/>
                <w:b w:val="1"/>
                <w:bCs w:val="1"/>
                <w:color w:val="333333"/>
              </w:rPr>
              <w:t>ALAN S. McKIM</w:t>
            </w:r>
          </w:p>
        </w:tc>
        <w:tc>
          <w:tcPr>
            <w:tcW w:w="3600" w:type="dxa"/>
            <w:vAlign w:val="bottom"/>
          </w:tcPr>
          <w:p>
            <w:pPr>
              <w:ind w:left="780"/>
              <w:spacing w:after="0"/>
              <w:rPr>
                <w:sz w:val="20"/>
                <w:szCs w:val="20"/>
                <w:color w:val="auto"/>
              </w:rPr>
            </w:pPr>
            <w:r>
              <w:rPr>
                <w:rFonts w:ascii="Arial" w:cs="Arial" w:eastAsia="Arial" w:hAnsi="Arial"/>
                <w:sz w:val="20"/>
                <w:szCs w:val="20"/>
                <w:b w:val="1"/>
                <w:bCs w:val="1"/>
                <w:color w:val="333333"/>
              </w:rPr>
              <w:t>MICHAEL L. BATTLES</w:t>
            </w:r>
          </w:p>
        </w:tc>
        <w:tc>
          <w:tcPr>
            <w:tcW w:w="2800" w:type="dxa"/>
            <w:vAlign w:val="bottom"/>
          </w:tcPr>
          <w:p>
            <w:pPr>
              <w:ind w:left="840"/>
              <w:spacing w:after="0"/>
              <w:rPr>
                <w:sz w:val="20"/>
                <w:szCs w:val="20"/>
                <w:color w:val="auto"/>
              </w:rPr>
            </w:pPr>
            <w:r>
              <w:rPr>
                <w:rFonts w:ascii="Arial" w:cs="Arial" w:eastAsia="Arial" w:hAnsi="Arial"/>
                <w:sz w:val="20"/>
                <w:szCs w:val="20"/>
                <w:b w:val="1"/>
                <w:bCs w:val="1"/>
                <w:color w:val="333333"/>
                <w:w w:val="81"/>
              </w:rPr>
              <w:t>ERIC W. GERSTENBERG</w:t>
            </w:r>
          </w:p>
        </w:tc>
      </w:tr>
      <w:tr>
        <w:trPr>
          <w:trHeight w:val="240"/>
        </w:trPr>
        <w:tc>
          <w:tcPr>
            <w:tcW w:w="2860" w:type="dxa"/>
            <w:vAlign w:val="bottom"/>
          </w:tcPr>
          <w:p>
            <w:pPr>
              <w:spacing w:after="0"/>
              <w:rPr>
                <w:sz w:val="20"/>
                <w:szCs w:val="20"/>
                <w:color w:val="auto"/>
              </w:rPr>
            </w:pPr>
            <w:r>
              <w:rPr>
                <w:rFonts w:ascii="Arial" w:cs="Arial" w:eastAsia="Arial" w:hAnsi="Arial"/>
                <w:sz w:val="20"/>
                <w:szCs w:val="20"/>
                <w:color w:val="333333"/>
              </w:rPr>
              <w:t>Founder, Executive</w:t>
            </w:r>
          </w:p>
        </w:tc>
        <w:tc>
          <w:tcPr>
            <w:tcW w:w="3600" w:type="dxa"/>
            <w:vAlign w:val="bottom"/>
          </w:tcPr>
          <w:p>
            <w:pPr>
              <w:ind w:left="780"/>
              <w:spacing w:after="0"/>
              <w:rPr>
                <w:sz w:val="20"/>
                <w:szCs w:val="20"/>
                <w:color w:val="auto"/>
              </w:rPr>
            </w:pPr>
            <w:r>
              <w:rPr>
                <w:rFonts w:ascii="Arial" w:cs="Arial" w:eastAsia="Arial" w:hAnsi="Arial"/>
                <w:sz w:val="20"/>
                <w:szCs w:val="20"/>
                <w:color w:val="333333"/>
              </w:rPr>
              <w:t>Co-Chief Executive</w:t>
            </w:r>
          </w:p>
        </w:tc>
        <w:tc>
          <w:tcPr>
            <w:tcW w:w="2800" w:type="dxa"/>
            <w:vAlign w:val="bottom"/>
          </w:tcPr>
          <w:p>
            <w:pPr>
              <w:ind w:left="840"/>
              <w:spacing w:after="0"/>
              <w:rPr>
                <w:sz w:val="20"/>
                <w:szCs w:val="20"/>
                <w:color w:val="auto"/>
              </w:rPr>
            </w:pPr>
            <w:r>
              <w:rPr>
                <w:rFonts w:ascii="Arial" w:cs="Arial" w:eastAsia="Arial" w:hAnsi="Arial"/>
                <w:sz w:val="20"/>
                <w:szCs w:val="20"/>
                <w:color w:val="333333"/>
              </w:rPr>
              <w:t>Co-Chief Executive</w:t>
            </w:r>
          </w:p>
        </w:tc>
      </w:tr>
      <w:tr>
        <w:trPr>
          <w:trHeight w:val="240"/>
        </w:trPr>
        <w:tc>
          <w:tcPr>
            <w:tcW w:w="2860" w:type="dxa"/>
            <w:vAlign w:val="bottom"/>
          </w:tcPr>
          <w:p>
            <w:pPr>
              <w:spacing w:after="0"/>
              <w:rPr>
                <w:sz w:val="20"/>
                <w:szCs w:val="20"/>
                <w:color w:val="auto"/>
              </w:rPr>
            </w:pPr>
            <w:r>
              <w:rPr>
                <w:rFonts w:ascii="Arial" w:cs="Arial" w:eastAsia="Arial" w:hAnsi="Arial"/>
                <w:sz w:val="20"/>
                <w:szCs w:val="20"/>
                <w:color w:val="333333"/>
              </w:rPr>
              <w:t>Chairman and Chief</w:t>
            </w:r>
          </w:p>
        </w:tc>
        <w:tc>
          <w:tcPr>
            <w:tcW w:w="3600" w:type="dxa"/>
            <w:vAlign w:val="bottom"/>
          </w:tcPr>
          <w:p>
            <w:pPr>
              <w:ind w:left="780"/>
              <w:spacing w:after="0"/>
              <w:rPr>
                <w:sz w:val="20"/>
                <w:szCs w:val="20"/>
                <w:color w:val="auto"/>
              </w:rPr>
            </w:pPr>
            <w:r>
              <w:rPr>
                <w:rFonts w:ascii="Arial" w:cs="Arial" w:eastAsia="Arial" w:hAnsi="Arial"/>
                <w:sz w:val="20"/>
                <w:szCs w:val="20"/>
                <w:color w:val="333333"/>
              </w:rPr>
              <w:t>Officer</w:t>
            </w:r>
          </w:p>
        </w:tc>
        <w:tc>
          <w:tcPr>
            <w:tcW w:w="2800" w:type="dxa"/>
            <w:vAlign w:val="bottom"/>
          </w:tcPr>
          <w:p>
            <w:pPr>
              <w:ind w:left="840"/>
              <w:spacing w:after="0"/>
              <w:rPr>
                <w:sz w:val="20"/>
                <w:szCs w:val="20"/>
                <w:color w:val="auto"/>
              </w:rPr>
            </w:pPr>
            <w:r>
              <w:rPr>
                <w:rFonts w:ascii="Arial" w:cs="Arial" w:eastAsia="Arial" w:hAnsi="Arial"/>
                <w:sz w:val="20"/>
                <w:szCs w:val="20"/>
                <w:color w:val="333333"/>
              </w:rPr>
              <w:t>Officer</w:t>
            </w:r>
          </w:p>
        </w:tc>
      </w:tr>
      <w:tr>
        <w:trPr>
          <w:trHeight w:val="240"/>
        </w:trPr>
        <w:tc>
          <w:tcPr>
            <w:tcW w:w="2860" w:type="dxa"/>
            <w:vAlign w:val="bottom"/>
          </w:tcPr>
          <w:p>
            <w:pPr>
              <w:spacing w:after="0"/>
              <w:rPr>
                <w:sz w:val="20"/>
                <w:szCs w:val="20"/>
                <w:color w:val="auto"/>
              </w:rPr>
            </w:pPr>
            <w:r>
              <w:rPr>
                <w:rFonts w:ascii="Arial" w:cs="Arial" w:eastAsia="Arial" w:hAnsi="Arial"/>
                <w:sz w:val="20"/>
                <w:szCs w:val="20"/>
                <w:color w:val="333333"/>
              </w:rPr>
              <w:t>Technology Officer</w:t>
            </w:r>
          </w:p>
        </w:tc>
        <w:tc>
          <w:tcPr>
            <w:tcW w:w="36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522"/>
        </w:trPr>
        <w:tc>
          <w:tcPr>
            <w:tcW w:w="2860" w:type="dxa"/>
            <w:vAlign w:val="bottom"/>
          </w:tcPr>
          <w:p>
            <w:pPr>
              <w:spacing w:after="0"/>
              <w:rPr>
                <w:sz w:val="20"/>
                <w:szCs w:val="20"/>
                <w:color w:val="auto"/>
              </w:rPr>
            </w:pPr>
            <w:r>
              <w:rPr>
                <w:rFonts w:ascii="Arial" w:cs="Arial" w:eastAsia="Arial" w:hAnsi="Arial"/>
                <w:sz w:val="20"/>
                <w:szCs w:val="20"/>
                <w:b w:val="1"/>
                <w:bCs w:val="1"/>
                <w:color w:val="333333"/>
              </w:rPr>
              <w:t>GEORGE L. CURTIS</w:t>
            </w:r>
          </w:p>
        </w:tc>
        <w:tc>
          <w:tcPr>
            <w:tcW w:w="3600" w:type="dxa"/>
            <w:vAlign w:val="bottom"/>
          </w:tcPr>
          <w:p>
            <w:pPr>
              <w:ind w:left="780"/>
              <w:spacing w:after="0"/>
              <w:rPr>
                <w:sz w:val="20"/>
                <w:szCs w:val="20"/>
                <w:color w:val="auto"/>
              </w:rPr>
            </w:pPr>
            <w:r>
              <w:rPr>
                <w:rFonts w:ascii="Arial" w:cs="Arial" w:eastAsia="Arial" w:hAnsi="Arial"/>
                <w:sz w:val="20"/>
                <w:szCs w:val="20"/>
                <w:b w:val="1"/>
                <w:bCs w:val="1"/>
                <w:color w:val="333333"/>
              </w:rPr>
              <w:t>JEROEN DIDERICH</w:t>
            </w:r>
          </w:p>
        </w:tc>
        <w:tc>
          <w:tcPr>
            <w:tcW w:w="2800" w:type="dxa"/>
            <w:vAlign w:val="bottom"/>
          </w:tcPr>
          <w:p>
            <w:pPr>
              <w:ind w:left="840"/>
              <w:spacing w:after="0"/>
              <w:rPr>
                <w:sz w:val="20"/>
                <w:szCs w:val="20"/>
                <w:color w:val="auto"/>
              </w:rPr>
            </w:pPr>
            <w:r>
              <w:rPr>
                <w:rFonts w:ascii="Arial" w:cs="Arial" w:eastAsia="Arial" w:hAnsi="Arial"/>
                <w:sz w:val="20"/>
                <w:szCs w:val="20"/>
                <w:b w:val="1"/>
                <w:bCs w:val="1"/>
                <w:color w:val="333333"/>
              </w:rPr>
              <w:t>ERIC J. DUGAS</w:t>
            </w:r>
          </w:p>
        </w:tc>
      </w:tr>
      <w:tr>
        <w:trPr>
          <w:trHeight w:val="240"/>
        </w:trPr>
        <w:tc>
          <w:tcPr>
            <w:tcW w:w="2860" w:type="dxa"/>
            <w:vAlign w:val="bottom"/>
          </w:tcPr>
          <w:p>
            <w:pPr>
              <w:spacing w:after="0"/>
              <w:rPr>
                <w:sz w:val="20"/>
                <w:szCs w:val="20"/>
                <w:color w:val="auto"/>
              </w:rPr>
            </w:pPr>
            <w:r>
              <w:rPr>
                <w:rFonts w:ascii="Arial" w:cs="Arial" w:eastAsia="Arial" w:hAnsi="Arial"/>
                <w:sz w:val="20"/>
                <w:szCs w:val="20"/>
                <w:color w:val="333333"/>
              </w:rPr>
              <w:t>Executive Vice President,</w:t>
            </w:r>
          </w:p>
        </w:tc>
        <w:tc>
          <w:tcPr>
            <w:tcW w:w="3600" w:type="dxa"/>
            <w:vAlign w:val="bottom"/>
          </w:tcPr>
          <w:p>
            <w:pPr>
              <w:ind w:left="780"/>
              <w:spacing w:after="0"/>
              <w:rPr>
                <w:sz w:val="20"/>
                <w:szCs w:val="20"/>
                <w:color w:val="auto"/>
              </w:rPr>
            </w:pPr>
            <w:r>
              <w:rPr>
                <w:rFonts w:ascii="Arial" w:cs="Arial" w:eastAsia="Arial" w:hAnsi="Arial"/>
                <w:sz w:val="20"/>
                <w:szCs w:val="20"/>
                <w:color w:val="333333"/>
              </w:rPr>
              <w:t>President of</w:t>
            </w:r>
          </w:p>
        </w:tc>
        <w:tc>
          <w:tcPr>
            <w:tcW w:w="2800" w:type="dxa"/>
            <w:vAlign w:val="bottom"/>
          </w:tcPr>
          <w:p>
            <w:pPr>
              <w:ind w:left="840"/>
              <w:spacing w:after="0"/>
              <w:rPr>
                <w:sz w:val="20"/>
                <w:szCs w:val="20"/>
                <w:color w:val="auto"/>
              </w:rPr>
            </w:pPr>
            <w:r>
              <w:rPr>
                <w:rFonts w:ascii="Arial" w:cs="Arial" w:eastAsia="Arial" w:hAnsi="Arial"/>
                <w:sz w:val="20"/>
                <w:szCs w:val="20"/>
                <w:color w:val="333333"/>
                <w:w w:val="87"/>
              </w:rPr>
              <w:t>Executive Vice President</w:t>
            </w:r>
          </w:p>
        </w:tc>
      </w:tr>
      <w:tr>
        <w:trPr>
          <w:trHeight w:val="240"/>
        </w:trPr>
        <w:tc>
          <w:tcPr>
            <w:tcW w:w="2860" w:type="dxa"/>
            <w:vAlign w:val="bottom"/>
          </w:tcPr>
          <w:p>
            <w:pPr>
              <w:spacing w:after="0"/>
              <w:rPr>
                <w:sz w:val="20"/>
                <w:szCs w:val="20"/>
                <w:color w:val="auto"/>
              </w:rPr>
            </w:pPr>
            <w:r>
              <w:rPr>
                <w:rFonts w:ascii="Arial" w:cs="Arial" w:eastAsia="Arial" w:hAnsi="Arial"/>
                <w:sz w:val="20"/>
                <w:szCs w:val="20"/>
                <w:color w:val="333333"/>
              </w:rPr>
              <w:t>Pricing &amp; Proposals*</w:t>
            </w:r>
          </w:p>
        </w:tc>
        <w:tc>
          <w:tcPr>
            <w:tcW w:w="3600" w:type="dxa"/>
            <w:vAlign w:val="bottom"/>
          </w:tcPr>
          <w:p>
            <w:pPr>
              <w:ind w:left="780"/>
              <w:spacing w:after="0"/>
              <w:rPr>
                <w:sz w:val="20"/>
                <w:szCs w:val="20"/>
                <w:color w:val="auto"/>
              </w:rPr>
            </w:pPr>
            <w:r>
              <w:rPr>
                <w:rFonts w:ascii="Arial" w:cs="Arial" w:eastAsia="Arial" w:hAnsi="Arial"/>
                <w:sz w:val="20"/>
                <w:szCs w:val="20"/>
                <w:color w:val="333333"/>
              </w:rPr>
              <w:t>Environmental Sales &amp;</w:t>
            </w:r>
          </w:p>
        </w:tc>
        <w:tc>
          <w:tcPr>
            <w:tcW w:w="2800" w:type="dxa"/>
            <w:vAlign w:val="bottom"/>
          </w:tcPr>
          <w:p>
            <w:pPr>
              <w:ind w:left="840"/>
              <w:spacing w:after="0"/>
              <w:rPr>
                <w:sz w:val="20"/>
                <w:szCs w:val="20"/>
                <w:color w:val="auto"/>
              </w:rPr>
            </w:pPr>
            <w:r>
              <w:rPr>
                <w:rFonts w:ascii="Arial" w:cs="Arial" w:eastAsia="Arial" w:hAnsi="Arial"/>
                <w:sz w:val="20"/>
                <w:szCs w:val="20"/>
                <w:color w:val="333333"/>
              </w:rPr>
              <w:t>and Chief Financial</w:t>
            </w:r>
          </w:p>
        </w:tc>
      </w:tr>
      <w:tr>
        <w:trPr>
          <w:trHeight w:val="240"/>
        </w:trPr>
        <w:tc>
          <w:tcPr>
            <w:tcW w:w="2860" w:type="dxa"/>
            <w:vAlign w:val="bottom"/>
          </w:tcPr>
          <w:p>
            <w:pPr>
              <w:spacing w:after="0"/>
              <w:rPr>
                <w:sz w:val="20"/>
                <w:szCs w:val="20"/>
                <w:color w:val="auto"/>
              </w:rPr>
            </w:pPr>
          </w:p>
        </w:tc>
        <w:tc>
          <w:tcPr>
            <w:tcW w:w="3600" w:type="dxa"/>
            <w:vAlign w:val="bottom"/>
          </w:tcPr>
          <w:p>
            <w:pPr>
              <w:ind w:left="780"/>
              <w:spacing w:after="0"/>
              <w:rPr>
                <w:sz w:val="20"/>
                <w:szCs w:val="20"/>
                <w:color w:val="auto"/>
              </w:rPr>
            </w:pPr>
            <w:r>
              <w:rPr>
                <w:rFonts w:ascii="Arial" w:cs="Arial" w:eastAsia="Arial" w:hAnsi="Arial"/>
                <w:sz w:val="20"/>
                <w:szCs w:val="20"/>
                <w:color w:val="333333"/>
              </w:rPr>
              <w:t>Service</w:t>
            </w:r>
          </w:p>
        </w:tc>
        <w:tc>
          <w:tcPr>
            <w:tcW w:w="2800" w:type="dxa"/>
            <w:vAlign w:val="bottom"/>
          </w:tcPr>
          <w:p>
            <w:pPr>
              <w:ind w:left="840"/>
              <w:spacing w:after="0"/>
              <w:rPr>
                <w:sz w:val="20"/>
                <w:szCs w:val="20"/>
                <w:color w:val="auto"/>
              </w:rPr>
            </w:pPr>
            <w:r>
              <w:rPr>
                <w:rFonts w:ascii="Arial" w:cs="Arial" w:eastAsia="Arial" w:hAnsi="Arial"/>
                <w:sz w:val="20"/>
                <w:szCs w:val="20"/>
                <w:color w:val="333333"/>
              </w:rPr>
              <w:t>Officer</w:t>
            </w:r>
          </w:p>
        </w:tc>
      </w:tr>
      <w:tr>
        <w:trPr>
          <w:trHeight w:val="522"/>
        </w:trPr>
        <w:tc>
          <w:tcPr>
            <w:tcW w:w="2860" w:type="dxa"/>
            <w:vAlign w:val="bottom"/>
          </w:tcPr>
          <w:p>
            <w:pPr>
              <w:spacing w:after="0"/>
              <w:rPr>
                <w:sz w:val="20"/>
                <w:szCs w:val="20"/>
                <w:color w:val="auto"/>
              </w:rPr>
            </w:pPr>
            <w:r>
              <w:rPr>
                <w:rFonts w:ascii="Arial" w:cs="Arial" w:eastAsia="Arial" w:hAnsi="Arial"/>
                <w:sz w:val="20"/>
                <w:szCs w:val="20"/>
                <w:b w:val="1"/>
                <w:bCs w:val="1"/>
                <w:color w:val="333333"/>
              </w:rPr>
              <w:t>SHARON M. GABRIEL</w:t>
            </w:r>
          </w:p>
        </w:tc>
        <w:tc>
          <w:tcPr>
            <w:tcW w:w="3600" w:type="dxa"/>
            <w:vAlign w:val="bottom"/>
          </w:tcPr>
          <w:p>
            <w:pPr>
              <w:ind w:left="780"/>
              <w:spacing w:after="0"/>
              <w:rPr>
                <w:sz w:val="20"/>
                <w:szCs w:val="20"/>
                <w:color w:val="auto"/>
              </w:rPr>
            </w:pPr>
            <w:r>
              <w:rPr>
                <w:rFonts w:ascii="Arial" w:cs="Arial" w:eastAsia="Arial" w:hAnsi="Arial"/>
                <w:sz w:val="20"/>
                <w:szCs w:val="20"/>
                <w:b w:val="1"/>
                <w:bCs w:val="1"/>
                <w:color w:val="333333"/>
              </w:rPr>
              <w:t>ROBERT HARRISON</w:t>
            </w:r>
          </w:p>
        </w:tc>
        <w:tc>
          <w:tcPr>
            <w:tcW w:w="2800" w:type="dxa"/>
            <w:vAlign w:val="bottom"/>
          </w:tcPr>
          <w:p>
            <w:pPr>
              <w:ind w:left="840"/>
              <w:spacing w:after="0"/>
              <w:rPr>
                <w:sz w:val="20"/>
                <w:szCs w:val="20"/>
                <w:color w:val="auto"/>
              </w:rPr>
            </w:pPr>
            <w:r>
              <w:rPr>
                <w:rFonts w:ascii="Arial" w:cs="Arial" w:eastAsia="Arial" w:hAnsi="Arial"/>
                <w:sz w:val="20"/>
                <w:szCs w:val="20"/>
                <w:b w:val="1"/>
                <w:bCs w:val="1"/>
                <w:color w:val="333333"/>
                <w:w w:val="89"/>
              </w:rPr>
              <w:t>ROBERT E. SPEIGHTS</w:t>
            </w:r>
          </w:p>
        </w:tc>
      </w:tr>
      <w:tr>
        <w:trPr>
          <w:trHeight w:val="240"/>
        </w:trPr>
        <w:tc>
          <w:tcPr>
            <w:tcW w:w="2860" w:type="dxa"/>
            <w:vAlign w:val="bottom"/>
          </w:tcPr>
          <w:p>
            <w:pPr>
              <w:spacing w:after="0"/>
              <w:rPr>
                <w:sz w:val="20"/>
                <w:szCs w:val="20"/>
                <w:color w:val="auto"/>
              </w:rPr>
            </w:pPr>
            <w:r>
              <w:rPr>
                <w:rFonts w:ascii="Arial" w:cs="Arial" w:eastAsia="Arial" w:hAnsi="Arial"/>
                <w:sz w:val="20"/>
                <w:szCs w:val="20"/>
                <w:color w:val="333333"/>
              </w:rPr>
              <w:t>Executive Vice President</w:t>
            </w:r>
          </w:p>
        </w:tc>
        <w:tc>
          <w:tcPr>
            <w:tcW w:w="3600" w:type="dxa"/>
            <w:vAlign w:val="bottom"/>
          </w:tcPr>
          <w:p>
            <w:pPr>
              <w:ind w:left="780"/>
              <w:spacing w:after="0"/>
              <w:rPr>
                <w:sz w:val="20"/>
                <w:szCs w:val="20"/>
                <w:color w:val="auto"/>
              </w:rPr>
            </w:pPr>
            <w:r>
              <w:rPr>
                <w:rFonts w:ascii="Arial" w:cs="Arial" w:eastAsia="Arial" w:hAnsi="Arial"/>
                <w:sz w:val="20"/>
                <w:szCs w:val="20"/>
                <w:color w:val="333333"/>
              </w:rPr>
              <w:t>Executive Vice President,</w:t>
            </w:r>
          </w:p>
        </w:tc>
        <w:tc>
          <w:tcPr>
            <w:tcW w:w="2800" w:type="dxa"/>
            <w:vAlign w:val="bottom"/>
          </w:tcPr>
          <w:p>
            <w:pPr>
              <w:ind w:left="840"/>
              <w:spacing w:after="0"/>
              <w:rPr>
                <w:sz w:val="20"/>
                <w:szCs w:val="20"/>
                <w:color w:val="auto"/>
              </w:rPr>
            </w:pPr>
            <w:r>
              <w:rPr>
                <w:rFonts w:ascii="Arial" w:cs="Arial" w:eastAsia="Arial" w:hAnsi="Arial"/>
                <w:sz w:val="20"/>
                <w:szCs w:val="20"/>
                <w:color w:val="333333"/>
              </w:rPr>
              <w:t>President, Industrial</w:t>
            </w:r>
          </w:p>
        </w:tc>
      </w:tr>
      <w:tr>
        <w:trPr>
          <w:trHeight w:val="240"/>
        </w:trPr>
        <w:tc>
          <w:tcPr>
            <w:tcW w:w="2860" w:type="dxa"/>
            <w:vAlign w:val="bottom"/>
          </w:tcPr>
          <w:p>
            <w:pPr>
              <w:spacing w:after="0"/>
              <w:rPr>
                <w:sz w:val="20"/>
                <w:szCs w:val="20"/>
                <w:color w:val="auto"/>
              </w:rPr>
            </w:pPr>
            <w:r>
              <w:rPr>
                <w:rFonts w:ascii="Arial" w:cs="Arial" w:eastAsia="Arial" w:hAnsi="Arial"/>
                <w:sz w:val="20"/>
                <w:szCs w:val="20"/>
                <w:color w:val="333333"/>
              </w:rPr>
              <w:t>and Chief Information</w:t>
            </w:r>
          </w:p>
        </w:tc>
        <w:tc>
          <w:tcPr>
            <w:tcW w:w="3600" w:type="dxa"/>
            <w:vAlign w:val="bottom"/>
          </w:tcPr>
          <w:p>
            <w:pPr>
              <w:ind w:left="780"/>
              <w:spacing w:after="0"/>
              <w:rPr>
                <w:sz w:val="20"/>
                <w:szCs w:val="20"/>
                <w:color w:val="auto"/>
              </w:rPr>
            </w:pPr>
            <w:r>
              <w:rPr>
                <w:rFonts w:ascii="Arial" w:cs="Arial" w:eastAsia="Arial" w:hAnsi="Arial"/>
                <w:sz w:val="20"/>
                <w:szCs w:val="20"/>
                <w:color w:val="333333"/>
              </w:rPr>
              <w:t>Health &amp; Safety*</w:t>
            </w:r>
          </w:p>
        </w:tc>
        <w:tc>
          <w:tcPr>
            <w:tcW w:w="2800" w:type="dxa"/>
            <w:vAlign w:val="bottom"/>
          </w:tcPr>
          <w:p>
            <w:pPr>
              <w:ind w:left="840"/>
              <w:spacing w:after="0"/>
              <w:rPr>
                <w:sz w:val="20"/>
                <w:szCs w:val="20"/>
                <w:color w:val="auto"/>
              </w:rPr>
            </w:pPr>
            <w:r>
              <w:rPr>
                <w:rFonts w:ascii="Arial" w:cs="Arial" w:eastAsia="Arial" w:hAnsi="Arial"/>
                <w:sz w:val="20"/>
                <w:szCs w:val="20"/>
                <w:color w:val="333333"/>
              </w:rPr>
              <w:t>Services*</w:t>
            </w:r>
          </w:p>
        </w:tc>
      </w:tr>
      <w:tr>
        <w:trPr>
          <w:trHeight w:val="240"/>
        </w:trPr>
        <w:tc>
          <w:tcPr>
            <w:tcW w:w="2860" w:type="dxa"/>
            <w:vAlign w:val="bottom"/>
          </w:tcPr>
          <w:p>
            <w:pPr>
              <w:spacing w:after="0"/>
              <w:rPr>
                <w:sz w:val="20"/>
                <w:szCs w:val="20"/>
                <w:color w:val="auto"/>
              </w:rPr>
            </w:pPr>
            <w:r>
              <w:rPr>
                <w:rFonts w:ascii="Arial" w:cs="Arial" w:eastAsia="Arial" w:hAnsi="Arial"/>
                <w:sz w:val="20"/>
                <w:szCs w:val="20"/>
                <w:color w:val="333333"/>
              </w:rPr>
              <w:t>Officer*</w:t>
            </w:r>
          </w:p>
        </w:tc>
        <w:tc>
          <w:tcPr>
            <w:tcW w:w="36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63"/>
        </w:trPr>
        <w:tc>
          <w:tcPr>
            <w:tcW w:w="2860" w:type="dxa"/>
            <w:vAlign w:val="bottom"/>
          </w:tcPr>
          <w:p>
            <w:pPr>
              <w:spacing w:after="0"/>
              <w:rPr>
                <w:sz w:val="20"/>
                <w:szCs w:val="20"/>
                <w:color w:val="auto"/>
              </w:rPr>
            </w:pPr>
            <w:r>
              <w:rPr>
                <w:rFonts w:ascii="Arial" w:cs="Arial" w:eastAsia="Arial" w:hAnsi="Arial"/>
                <w:sz w:val="20"/>
                <w:szCs w:val="20"/>
                <w:b w:val="1"/>
                <w:bCs w:val="1"/>
                <w:color w:val="333333"/>
              </w:rPr>
              <w:t>REBECCA UNDERWOOD</w:t>
            </w:r>
          </w:p>
        </w:tc>
        <w:tc>
          <w:tcPr>
            <w:tcW w:w="3600" w:type="dxa"/>
            <w:vAlign w:val="bottom"/>
          </w:tcPr>
          <w:p>
            <w:pPr>
              <w:ind w:left="780"/>
              <w:spacing w:after="0"/>
              <w:rPr>
                <w:sz w:val="20"/>
                <w:szCs w:val="20"/>
                <w:color w:val="auto"/>
              </w:rPr>
            </w:pPr>
            <w:r>
              <w:rPr>
                <w:rFonts w:ascii="Arial" w:cs="Arial" w:eastAsia="Arial" w:hAnsi="Arial"/>
                <w:sz w:val="20"/>
                <w:szCs w:val="20"/>
                <w:b w:val="1"/>
                <w:bCs w:val="1"/>
                <w:color w:val="333333"/>
              </w:rPr>
              <w:t>BRIAN P. WEBER</w:t>
            </w:r>
          </w:p>
        </w:tc>
        <w:tc>
          <w:tcPr>
            <w:tcW w:w="2800" w:type="dxa"/>
            <w:vAlign w:val="bottom"/>
          </w:tcPr>
          <w:p>
            <w:pPr>
              <w:spacing w:after="0"/>
              <w:rPr>
                <w:sz w:val="24"/>
                <w:szCs w:val="24"/>
                <w:color w:val="auto"/>
              </w:rPr>
            </w:pPr>
          </w:p>
        </w:tc>
      </w:tr>
      <w:tr>
        <w:trPr>
          <w:trHeight w:val="244"/>
        </w:trPr>
        <w:tc>
          <w:tcPr>
            <w:tcW w:w="2860" w:type="dxa"/>
            <w:vAlign w:val="bottom"/>
          </w:tcPr>
          <w:p>
            <w:pPr>
              <w:spacing w:after="0"/>
              <w:rPr>
                <w:sz w:val="20"/>
                <w:szCs w:val="20"/>
                <w:color w:val="auto"/>
              </w:rPr>
            </w:pPr>
            <w:r>
              <w:rPr>
                <w:rFonts w:ascii="Arial" w:cs="Arial" w:eastAsia="Arial" w:hAnsi="Arial"/>
                <w:sz w:val="20"/>
                <w:szCs w:val="20"/>
                <w:color w:val="333333"/>
              </w:rPr>
              <w:t>President, Facilities*</w:t>
            </w:r>
          </w:p>
        </w:tc>
        <w:tc>
          <w:tcPr>
            <w:tcW w:w="3600" w:type="dxa"/>
            <w:vAlign w:val="bottom"/>
          </w:tcPr>
          <w:p>
            <w:pPr>
              <w:ind w:left="780"/>
              <w:spacing w:after="0"/>
              <w:rPr>
                <w:sz w:val="20"/>
                <w:szCs w:val="20"/>
                <w:color w:val="auto"/>
              </w:rPr>
            </w:pPr>
            <w:r>
              <w:rPr>
                <w:rFonts w:ascii="Arial" w:cs="Arial" w:eastAsia="Arial" w:hAnsi="Arial"/>
                <w:sz w:val="20"/>
                <w:szCs w:val="20"/>
                <w:color w:val="333333"/>
              </w:rPr>
              <w:t>President, Safety-Kleen</w:t>
            </w:r>
          </w:p>
        </w:tc>
        <w:tc>
          <w:tcPr>
            <w:tcW w:w="2800" w:type="dxa"/>
            <w:vAlign w:val="bottom"/>
          </w:tcPr>
          <w:p>
            <w:pPr>
              <w:spacing w:after="0"/>
              <w:rPr>
                <w:sz w:val="21"/>
                <w:szCs w:val="21"/>
                <w:color w:val="auto"/>
              </w:rPr>
            </w:pPr>
          </w:p>
        </w:tc>
      </w:tr>
      <w:tr>
        <w:trPr>
          <w:trHeight w:val="240"/>
        </w:trPr>
        <w:tc>
          <w:tcPr>
            <w:tcW w:w="2860" w:type="dxa"/>
            <w:vAlign w:val="bottom"/>
          </w:tcPr>
          <w:p>
            <w:pPr>
              <w:spacing w:after="0"/>
              <w:rPr>
                <w:sz w:val="20"/>
                <w:szCs w:val="20"/>
                <w:color w:val="auto"/>
              </w:rPr>
            </w:pPr>
          </w:p>
        </w:tc>
        <w:tc>
          <w:tcPr>
            <w:tcW w:w="3600" w:type="dxa"/>
            <w:vAlign w:val="bottom"/>
          </w:tcPr>
          <w:p>
            <w:pPr>
              <w:ind w:left="780"/>
              <w:spacing w:after="0"/>
              <w:rPr>
                <w:sz w:val="20"/>
                <w:szCs w:val="20"/>
                <w:color w:val="auto"/>
              </w:rPr>
            </w:pPr>
            <w:r>
              <w:rPr>
                <w:rFonts w:ascii="Arial" w:cs="Arial" w:eastAsia="Arial" w:hAnsi="Arial"/>
                <w:sz w:val="20"/>
                <w:szCs w:val="20"/>
                <w:color w:val="333333"/>
              </w:rPr>
              <w:t>Sustainability Solutions</w:t>
            </w:r>
          </w:p>
        </w:tc>
        <w:tc>
          <w:tcPr>
            <w:tcW w:w="2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404495</wp:posOffset>
            </wp:positionV>
            <wp:extent cx="6677660" cy="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77660" cy="1206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-2038350</wp:posOffset>
            </wp:positionV>
            <wp:extent cx="5298440" cy="2205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98440" cy="2205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4"/>
          <w:szCs w:val="24"/>
          <w:b w:val="1"/>
          <w:bCs w:val="1"/>
          <w:color w:val="C10014"/>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80010</wp:posOffset>
            </wp:positionV>
            <wp:extent cx="662940" cy="662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940" cy="66294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80010</wp:posOffset>
            </wp:positionV>
            <wp:extent cx="662940" cy="662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940" cy="662940"/>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80010</wp:posOffset>
            </wp:positionV>
            <wp:extent cx="662940" cy="662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940" cy="662940"/>
                    </a:xfrm>
                    <a:prstGeom prst="rect">
                      <a:avLst/>
                    </a:prstGeom>
                    <a:noFill/>
                  </pic:spPr>
                </pic:pic>
              </a:graphicData>
            </a:graphic>
          </wp:anchor>
        </w:drawing>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240"/>
        </w:trPr>
        <w:tc>
          <w:tcPr>
            <w:tcW w:w="2800" w:type="dxa"/>
            <w:vAlign w:val="bottom"/>
          </w:tcPr>
          <w:p>
            <w:pPr>
              <w:spacing w:after="0"/>
              <w:rPr>
                <w:sz w:val="20"/>
                <w:szCs w:val="20"/>
                <w:color w:val="auto"/>
              </w:rPr>
            </w:pPr>
            <w:r>
              <w:rPr>
                <w:rFonts w:ascii="Arial" w:cs="Arial" w:eastAsia="Arial" w:hAnsi="Arial"/>
                <w:sz w:val="20"/>
                <w:szCs w:val="20"/>
                <w:b w:val="1"/>
                <w:bCs w:val="1"/>
                <w:color w:val="333333"/>
              </w:rPr>
              <w:t>ALAN S. McKIM</w:t>
            </w:r>
          </w:p>
        </w:tc>
        <w:tc>
          <w:tcPr>
            <w:tcW w:w="3620" w:type="dxa"/>
            <w:vAlign w:val="bottom"/>
          </w:tcPr>
          <w:p>
            <w:pPr>
              <w:ind w:left="840"/>
              <w:spacing w:after="0"/>
              <w:rPr>
                <w:sz w:val="20"/>
                <w:szCs w:val="20"/>
                <w:color w:val="auto"/>
              </w:rPr>
            </w:pPr>
            <w:r>
              <w:rPr>
                <w:rFonts w:ascii="Arial" w:cs="Arial" w:eastAsia="Arial" w:hAnsi="Arial"/>
                <w:sz w:val="20"/>
                <w:szCs w:val="20"/>
                <w:b w:val="1"/>
                <w:bCs w:val="1"/>
                <w:color w:val="333333"/>
              </w:rPr>
              <w:t>MICHAEL L. BATTLES</w:t>
            </w:r>
          </w:p>
        </w:tc>
        <w:tc>
          <w:tcPr>
            <w:tcW w:w="2800" w:type="dxa"/>
            <w:vAlign w:val="bottom"/>
          </w:tcPr>
          <w:p>
            <w:pPr>
              <w:ind w:left="860"/>
              <w:spacing w:after="0"/>
              <w:rPr>
                <w:sz w:val="20"/>
                <w:szCs w:val="20"/>
                <w:color w:val="auto"/>
              </w:rPr>
            </w:pPr>
            <w:r>
              <w:rPr>
                <w:rFonts w:ascii="Arial" w:cs="Arial" w:eastAsia="Arial" w:hAnsi="Arial"/>
                <w:sz w:val="20"/>
                <w:szCs w:val="20"/>
                <w:b w:val="1"/>
                <w:bCs w:val="1"/>
                <w:color w:val="333333"/>
                <w:w w:val="87"/>
              </w:rPr>
              <w:t>EDWARD G. GALANTE</w:t>
            </w:r>
          </w:p>
        </w:tc>
      </w:tr>
      <w:tr>
        <w:trPr>
          <w:trHeight w:val="240"/>
        </w:trPr>
        <w:tc>
          <w:tcPr>
            <w:tcW w:w="2800" w:type="dxa"/>
            <w:vAlign w:val="bottom"/>
          </w:tcPr>
          <w:p>
            <w:pPr>
              <w:spacing w:after="0"/>
              <w:rPr>
                <w:sz w:val="20"/>
                <w:szCs w:val="20"/>
                <w:color w:val="auto"/>
              </w:rPr>
            </w:pPr>
            <w:r>
              <w:rPr>
                <w:rFonts w:ascii="Arial" w:cs="Arial" w:eastAsia="Arial" w:hAnsi="Arial"/>
                <w:sz w:val="20"/>
                <w:szCs w:val="20"/>
                <w:color w:val="333333"/>
              </w:rPr>
              <w:t>Founder, Executive</w:t>
            </w:r>
          </w:p>
        </w:tc>
        <w:tc>
          <w:tcPr>
            <w:tcW w:w="3620" w:type="dxa"/>
            <w:vAlign w:val="bottom"/>
          </w:tcPr>
          <w:p>
            <w:pPr>
              <w:ind w:left="840"/>
              <w:spacing w:after="0"/>
              <w:rPr>
                <w:sz w:val="20"/>
                <w:szCs w:val="20"/>
                <w:color w:val="auto"/>
              </w:rPr>
            </w:pPr>
            <w:r>
              <w:rPr>
                <w:rFonts w:ascii="Arial" w:cs="Arial" w:eastAsia="Arial" w:hAnsi="Arial"/>
                <w:sz w:val="20"/>
                <w:szCs w:val="20"/>
                <w:color w:val="333333"/>
              </w:rPr>
              <w:t>Co-Chief Executive</w:t>
            </w:r>
          </w:p>
        </w:tc>
        <w:tc>
          <w:tcPr>
            <w:tcW w:w="2800" w:type="dxa"/>
            <w:vAlign w:val="bottom"/>
          </w:tcPr>
          <w:p>
            <w:pPr>
              <w:ind w:left="860"/>
              <w:spacing w:after="0"/>
              <w:rPr>
                <w:sz w:val="20"/>
                <w:szCs w:val="20"/>
                <w:color w:val="auto"/>
              </w:rPr>
            </w:pPr>
            <w:r>
              <w:rPr>
                <w:rFonts w:ascii="Arial" w:cs="Arial" w:eastAsia="Arial" w:hAnsi="Arial"/>
                <w:sz w:val="20"/>
                <w:szCs w:val="20"/>
                <w:color w:val="333333"/>
              </w:rPr>
              <w:t>Lead Independent</w:t>
            </w:r>
          </w:p>
        </w:tc>
      </w:tr>
      <w:tr>
        <w:trPr>
          <w:trHeight w:val="240"/>
        </w:trPr>
        <w:tc>
          <w:tcPr>
            <w:tcW w:w="2800" w:type="dxa"/>
            <w:vAlign w:val="bottom"/>
          </w:tcPr>
          <w:p>
            <w:pPr>
              <w:spacing w:after="0"/>
              <w:rPr>
                <w:sz w:val="20"/>
                <w:szCs w:val="20"/>
                <w:color w:val="auto"/>
              </w:rPr>
            </w:pPr>
            <w:r>
              <w:rPr>
                <w:rFonts w:ascii="Arial" w:cs="Arial" w:eastAsia="Arial" w:hAnsi="Arial"/>
                <w:sz w:val="20"/>
                <w:szCs w:val="20"/>
                <w:color w:val="333333"/>
              </w:rPr>
              <w:t>Chairman and Chief</w:t>
            </w:r>
          </w:p>
        </w:tc>
        <w:tc>
          <w:tcPr>
            <w:tcW w:w="3620" w:type="dxa"/>
            <w:vAlign w:val="bottom"/>
          </w:tcPr>
          <w:p>
            <w:pPr>
              <w:ind w:left="840"/>
              <w:spacing w:after="0"/>
              <w:rPr>
                <w:sz w:val="20"/>
                <w:szCs w:val="20"/>
                <w:color w:val="auto"/>
              </w:rPr>
            </w:pPr>
            <w:r>
              <w:rPr>
                <w:rFonts w:ascii="Arial" w:cs="Arial" w:eastAsia="Arial" w:hAnsi="Arial"/>
                <w:sz w:val="20"/>
                <w:szCs w:val="20"/>
                <w:color w:val="333333"/>
              </w:rPr>
              <w:t>Officer</w:t>
            </w:r>
          </w:p>
        </w:tc>
        <w:tc>
          <w:tcPr>
            <w:tcW w:w="2800" w:type="dxa"/>
            <w:vAlign w:val="bottom"/>
          </w:tcPr>
          <w:p>
            <w:pPr>
              <w:ind w:left="860"/>
              <w:spacing w:after="0"/>
              <w:rPr>
                <w:sz w:val="20"/>
                <w:szCs w:val="20"/>
                <w:color w:val="auto"/>
              </w:rPr>
            </w:pPr>
            <w:r>
              <w:rPr>
                <w:rFonts w:ascii="Arial" w:cs="Arial" w:eastAsia="Arial" w:hAnsi="Arial"/>
                <w:sz w:val="20"/>
                <w:szCs w:val="20"/>
                <w:color w:val="333333"/>
              </w:rPr>
              <w:t>Director</w:t>
            </w:r>
          </w:p>
        </w:tc>
      </w:tr>
      <w:tr>
        <w:trPr>
          <w:trHeight w:val="240"/>
        </w:trPr>
        <w:tc>
          <w:tcPr>
            <w:tcW w:w="2800" w:type="dxa"/>
            <w:vAlign w:val="bottom"/>
          </w:tcPr>
          <w:p>
            <w:pPr>
              <w:spacing w:after="0"/>
              <w:rPr>
                <w:sz w:val="20"/>
                <w:szCs w:val="20"/>
                <w:color w:val="auto"/>
              </w:rPr>
            </w:pPr>
            <w:r>
              <w:rPr>
                <w:rFonts w:ascii="Arial" w:cs="Arial" w:eastAsia="Arial" w:hAnsi="Arial"/>
                <w:sz w:val="20"/>
                <w:szCs w:val="20"/>
                <w:color w:val="333333"/>
              </w:rPr>
              <w:t>Technology Officer</w:t>
            </w:r>
          </w:p>
        </w:tc>
        <w:tc>
          <w:tcPr>
            <w:tcW w:w="36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511"/>
        </w:trPr>
        <w:tc>
          <w:tcPr>
            <w:tcW w:w="2800" w:type="dxa"/>
            <w:vAlign w:val="bottom"/>
          </w:tcPr>
          <w:p>
            <w:pPr>
              <w:spacing w:after="0"/>
              <w:rPr>
                <w:sz w:val="20"/>
                <w:szCs w:val="20"/>
                <w:color w:val="auto"/>
              </w:rPr>
            </w:pPr>
            <w:r>
              <w:rPr>
                <w:rFonts w:ascii="Arial" w:cs="Arial" w:eastAsia="Arial" w:hAnsi="Arial"/>
                <w:sz w:val="20"/>
                <w:szCs w:val="20"/>
                <w:b w:val="1"/>
                <w:bCs w:val="1"/>
                <w:color w:val="333333"/>
              </w:rPr>
              <w:t>ERIC W. GERSTENBERG</w:t>
            </w:r>
          </w:p>
        </w:tc>
        <w:tc>
          <w:tcPr>
            <w:tcW w:w="3620" w:type="dxa"/>
            <w:vAlign w:val="bottom"/>
          </w:tcPr>
          <w:p>
            <w:pPr>
              <w:ind w:left="840"/>
              <w:spacing w:after="0"/>
              <w:rPr>
                <w:sz w:val="20"/>
                <w:szCs w:val="20"/>
                <w:color w:val="auto"/>
              </w:rPr>
            </w:pPr>
            <w:r>
              <w:rPr>
                <w:rFonts w:ascii="Arial" w:cs="Arial" w:eastAsia="Arial" w:hAnsi="Arial"/>
                <w:sz w:val="20"/>
                <w:szCs w:val="20"/>
                <w:b w:val="1"/>
                <w:bCs w:val="1"/>
                <w:color w:val="333333"/>
              </w:rPr>
              <w:t>KARYN POLITO</w:t>
            </w:r>
          </w:p>
        </w:tc>
        <w:tc>
          <w:tcPr>
            <w:tcW w:w="2800" w:type="dxa"/>
            <w:vAlign w:val="bottom"/>
          </w:tcPr>
          <w:p>
            <w:pPr>
              <w:ind w:left="860"/>
              <w:spacing w:after="0"/>
              <w:rPr>
                <w:sz w:val="20"/>
                <w:szCs w:val="20"/>
                <w:color w:val="auto"/>
              </w:rPr>
            </w:pPr>
            <w:r>
              <w:rPr>
                <w:rFonts w:ascii="Arial" w:cs="Arial" w:eastAsia="Arial" w:hAnsi="Arial"/>
                <w:sz w:val="20"/>
                <w:szCs w:val="20"/>
                <w:b w:val="1"/>
                <w:bCs w:val="1"/>
                <w:color w:val="333333"/>
              </w:rPr>
              <w:t>JOHN T. PRESTON</w:t>
            </w:r>
          </w:p>
        </w:tc>
      </w:tr>
      <w:tr>
        <w:trPr>
          <w:trHeight w:val="240"/>
        </w:trPr>
        <w:tc>
          <w:tcPr>
            <w:tcW w:w="2800" w:type="dxa"/>
            <w:vAlign w:val="bottom"/>
          </w:tcPr>
          <w:p>
            <w:pPr>
              <w:spacing w:after="0"/>
              <w:rPr>
                <w:sz w:val="20"/>
                <w:szCs w:val="20"/>
                <w:color w:val="auto"/>
              </w:rPr>
            </w:pPr>
            <w:r>
              <w:rPr>
                <w:rFonts w:ascii="Arial" w:cs="Arial" w:eastAsia="Arial" w:hAnsi="Arial"/>
                <w:sz w:val="20"/>
                <w:szCs w:val="20"/>
                <w:color w:val="333333"/>
              </w:rPr>
              <w:t>Co-Chief Executive</w:t>
            </w:r>
          </w:p>
        </w:tc>
        <w:tc>
          <w:tcPr>
            <w:tcW w:w="3620" w:type="dxa"/>
            <w:vAlign w:val="bottom"/>
          </w:tcPr>
          <w:p>
            <w:pPr>
              <w:ind w:left="840"/>
              <w:spacing w:after="0"/>
              <w:rPr>
                <w:sz w:val="20"/>
                <w:szCs w:val="20"/>
                <w:color w:val="auto"/>
              </w:rPr>
            </w:pPr>
            <w:r>
              <w:rPr>
                <w:rFonts w:ascii="Arial" w:cs="Arial" w:eastAsia="Arial" w:hAnsi="Arial"/>
                <w:sz w:val="20"/>
                <w:szCs w:val="20"/>
                <w:color w:val="333333"/>
              </w:rPr>
              <w:t>Director</w:t>
            </w:r>
          </w:p>
        </w:tc>
        <w:tc>
          <w:tcPr>
            <w:tcW w:w="2800" w:type="dxa"/>
            <w:vAlign w:val="bottom"/>
          </w:tcPr>
          <w:p>
            <w:pPr>
              <w:ind w:left="860"/>
              <w:spacing w:after="0"/>
              <w:rPr>
                <w:sz w:val="20"/>
                <w:szCs w:val="20"/>
                <w:color w:val="auto"/>
              </w:rPr>
            </w:pPr>
            <w:r>
              <w:rPr>
                <w:rFonts w:ascii="Arial" w:cs="Arial" w:eastAsia="Arial" w:hAnsi="Arial"/>
                <w:sz w:val="20"/>
                <w:szCs w:val="20"/>
                <w:color w:val="333333"/>
              </w:rPr>
              <w:t>Director</w:t>
            </w:r>
          </w:p>
        </w:tc>
      </w:tr>
      <w:tr>
        <w:trPr>
          <w:trHeight w:val="240"/>
        </w:trPr>
        <w:tc>
          <w:tcPr>
            <w:tcW w:w="2800" w:type="dxa"/>
            <w:vAlign w:val="bottom"/>
          </w:tcPr>
          <w:p>
            <w:pPr>
              <w:spacing w:after="0"/>
              <w:rPr>
                <w:sz w:val="20"/>
                <w:szCs w:val="20"/>
                <w:color w:val="auto"/>
              </w:rPr>
            </w:pPr>
            <w:r>
              <w:rPr>
                <w:rFonts w:ascii="Arial" w:cs="Arial" w:eastAsia="Arial" w:hAnsi="Arial"/>
                <w:sz w:val="20"/>
                <w:szCs w:val="20"/>
                <w:color w:val="333333"/>
              </w:rPr>
              <w:t>Officer</w:t>
            </w:r>
          </w:p>
        </w:tc>
        <w:tc>
          <w:tcPr>
            <w:tcW w:w="36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759"/>
        </w:trPr>
        <w:tc>
          <w:tcPr>
            <w:tcW w:w="2800" w:type="dxa"/>
            <w:vAlign w:val="bottom"/>
          </w:tcPr>
          <w:p>
            <w:pPr>
              <w:spacing w:after="0"/>
              <w:rPr>
                <w:sz w:val="20"/>
                <w:szCs w:val="20"/>
                <w:color w:val="auto"/>
              </w:rPr>
            </w:pPr>
            <w:r>
              <w:rPr>
                <w:rFonts w:ascii="Arial" w:cs="Arial" w:eastAsia="Arial" w:hAnsi="Arial"/>
                <w:sz w:val="20"/>
                <w:szCs w:val="20"/>
                <w:b w:val="1"/>
                <w:bCs w:val="1"/>
                <w:color w:val="333333"/>
              </w:rPr>
              <w:t>ALISON QUIRK</w:t>
            </w:r>
          </w:p>
        </w:tc>
        <w:tc>
          <w:tcPr>
            <w:tcW w:w="3620" w:type="dxa"/>
            <w:vAlign w:val="bottom"/>
          </w:tcPr>
          <w:p>
            <w:pPr>
              <w:ind w:left="840"/>
              <w:spacing w:after="0"/>
              <w:rPr>
                <w:sz w:val="20"/>
                <w:szCs w:val="20"/>
                <w:color w:val="auto"/>
              </w:rPr>
            </w:pPr>
            <w:r>
              <w:rPr>
                <w:rFonts w:ascii="Arial" w:cs="Arial" w:eastAsia="Arial" w:hAnsi="Arial"/>
                <w:sz w:val="20"/>
                <w:szCs w:val="20"/>
                <w:b w:val="1"/>
                <w:bCs w:val="1"/>
                <w:color w:val="333333"/>
              </w:rPr>
              <w:t>MARCY L. REED, CPA</w:t>
            </w:r>
          </w:p>
        </w:tc>
        <w:tc>
          <w:tcPr>
            <w:tcW w:w="2800" w:type="dxa"/>
            <w:vAlign w:val="bottom"/>
          </w:tcPr>
          <w:p>
            <w:pPr>
              <w:ind w:left="860"/>
              <w:spacing w:after="0"/>
              <w:rPr>
                <w:sz w:val="20"/>
                <w:szCs w:val="20"/>
                <w:color w:val="auto"/>
              </w:rPr>
            </w:pPr>
            <w:r>
              <w:rPr>
                <w:rFonts w:ascii="Arial" w:cs="Arial" w:eastAsia="Arial" w:hAnsi="Arial"/>
                <w:sz w:val="20"/>
                <w:szCs w:val="20"/>
                <w:b w:val="1"/>
                <w:bCs w:val="1"/>
                <w:color w:val="333333"/>
                <w:w w:val="85"/>
              </w:rPr>
              <w:t>ANDREA ROBERTSON,</w:t>
            </w:r>
          </w:p>
        </w:tc>
      </w:tr>
      <w:tr>
        <w:trPr>
          <w:trHeight w:val="240"/>
        </w:trPr>
        <w:tc>
          <w:tcPr>
            <w:tcW w:w="2800" w:type="dxa"/>
            <w:vAlign w:val="bottom"/>
          </w:tcPr>
          <w:p>
            <w:pPr>
              <w:spacing w:after="0"/>
              <w:rPr>
                <w:sz w:val="20"/>
                <w:szCs w:val="20"/>
                <w:color w:val="auto"/>
              </w:rPr>
            </w:pPr>
            <w:r>
              <w:rPr>
                <w:rFonts w:ascii="Arial" w:cs="Arial" w:eastAsia="Arial" w:hAnsi="Arial"/>
                <w:sz w:val="20"/>
                <w:szCs w:val="20"/>
                <w:color w:val="333333"/>
              </w:rPr>
              <w:t>Director</w:t>
            </w:r>
          </w:p>
        </w:tc>
        <w:tc>
          <w:tcPr>
            <w:tcW w:w="3620" w:type="dxa"/>
            <w:vAlign w:val="bottom"/>
          </w:tcPr>
          <w:p>
            <w:pPr>
              <w:ind w:left="840"/>
              <w:spacing w:after="0"/>
              <w:rPr>
                <w:sz w:val="20"/>
                <w:szCs w:val="20"/>
                <w:color w:val="auto"/>
              </w:rPr>
            </w:pPr>
            <w:r>
              <w:rPr>
                <w:rFonts w:ascii="Arial" w:cs="Arial" w:eastAsia="Arial" w:hAnsi="Arial"/>
                <w:sz w:val="20"/>
                <w:szCs w:val="20"/>
                <w:color w:val="333333"/>
              </w:rPr>
              <w:t>Director</w:t>
            </w:r>
          </w:p>
        </w:tc>
        <w:tc>
          <w:tcPr>
            <w:tcW w:w="2800" w:type="dxa"/>
            <w:vAlign w:val="bottom"/>
          </w:tcPr>
          <w:p>
            <w:pPr>
              <w:ind w:left="860"/>
              <w:spacing w:after="0"/>
              <w:rPr>
                <w:sz w:val="20"/>
                <w:szCs w:val="20"/>
                <w:color w:val="auto"/>
              </w:rPr>
            </w:pPr>
            <w:r>
              <w:rPr>
                <w:rFonts w:ascii="Arial" w:cs="Arial" w:eastAsia="Arial" w:hAnsi="Arial"/>
                <w:sz w:val="20"/>
                <w:szCs w:val="20"/>
                <w:b w:val="1"/>
                <w:bCs w:val="1"/>
                <w:color w:val="333333"/>
              </w:rPr>
              <w:t>CPA</w:t>
            </w:r>
          </w:p>
        </w:tc>
      </w:tr>
      <w:tr>
        <w:trPr>
          <w:trHeight w:val="240"/>
        </w:trPr>
        <w:tc>
          <w:tcPr>
            <w:tcW w:w="28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0" w:type="dxa"/>
            <w:vAlign w:val="bottom"/>
          </w:tcPr>
          <w:p>
            <w:pPr>
              <w:ind w:left="860"/>
              <w:spacing w:after="0"/>
              <w:rPr>
                <w:sz w:val="20"/>
                <w:szCs w:val="20"/>
                <w:color w:val="auto"/>
              </w:rPr>
            </w:pPr>
            <w:r>
              <w:rPr>
                <w:rFonts w:ascii="Arial" w:cs="Arial" w:eastAsia="Arial" w:hAnsi="Arial"/>
                <w:sz w:val="20"/>
                <w:szCs w:val="20"/>
                <w:color w:val="333333"/>
              </w:rPr>
              <w:t>Director</w:t>
            </w:r>
          </w:p>
        </w:tc>
      </w:tr>
      <w:tr>
        <w:trPr>
          <w:trHeight w:val="762"/>
        </w:trPr>
        <w:tc>
          <w:tcPr>
            <w:tcW w:w="2800" w:type="dxa"/>
            <w:vAlign w:val="bottom"/>
          </w:tcPr>
          <w:p>
            <w:pPr>
              <w:spacing w:after="0"/>
              <w:rPr>
                <w:sz w:val="20"/>
                <w:szCs w:val="20"/>
                <w:color w:val="auto"/>
              </w:rPr>
            </w:pPr>
            <w:r>
              <w:rPr>
                <w:rFonts w:ascii="Arial" w:cs="Arial" w:eastAsia="Arial" w:hAnsi="Arial"/>
                <w:sz w:val="20"/>
                <w:szCs w:val="20"/>
                <w:b w:val="1"/>
                <w:bCs w:val="1"/>
                <w:color w:val="333333"/>
              </w:rPr>
              <w:t>LAUREN C. STATES</w:t>
            </w:r>
          </w:p>
        </w:tc>
        <w:tc>
          <w:tcPr>
            <w:tcW w:w="3620" w:type="dxa"/>
            <w:vAlign w:val="bottom"/>
          </w:tcPr>
          <w:p>
            <w:pPr>
              <w:ind w:left="840"/>
              <w:spacing w:after="0"/>
              <w:rPr>
                <w:sz w:val="20"/>
                <w:szCs w:val="20"/>
                <w:color w:val="auto"/>
              </w:rPr>
            </w:pPr>
            <w:r>
              <w:rPr>
                <w:rFonts w:ascii="Arial" w:cs="Arial" w:eastAsia="Arial" w:hAnsi="Arial"/>
                <w:sz w:val="20"/>
                <w:szCs w:val="20"/>
                <w:b w:val="1"/>
                <w:bCs w:val="1"/>
                <w:color w:val="333333"/>
              </w:rPr>
              <w:t>SHELLEY STEWART, JR.</w:t>
            </w:r>
          </w:p>
        </w:tc>
        <w:tc>
          <w:tcPr>
            <w:tcW w:w="2800" w:type="dxa"/>
            <w:vAlign w:val="bottom"/>
          </w:tcPr>
          <w:p>
            <w:pPr>
              <w:ind w:left="860"/>
              <w:spacing w:after="0"/>
              <w:rPr>
                <w:sz w:val="20"/>
                <w:szCs w:val="20"/>
                <w:color w:val="auto"/>
              </w:rPr>
            </w:pPr>
            <w:r>
              <w:rPr>
                <w:rFonts w:ascii="Arial" w:cs="Arial" w:eastAsia="Arial" w:hAnsi="Arial"/>
                <w:sz w:val="20"/>
                <w:szCs w:val="20"/>
                <w:b w:val="1"/>
                <w:bCs w:val="1"/>
                <w:color w:val="333333"/>
              </w:rPr>
              <w:t>JOHN R. WELCH</w:t>
            </w:r>
          </w:p>
        </w:tc>
      </w:tr>
      <w:tr>
        <w:trPr>
          <w:trHeight w:val="240"/>
        </w:trPr>
        <w:tc>
          <w:tcPr>
            <w:tcW w:w="2800" w:type="dxa"/>
            <w:vAlign w:val="bottom"/>
          </w:tcPr>
          <w:p>
            <w:pPr>
              <w:spacing w:after="0"/>
              <w:rPr>
                <w:sz w:val="20"/>
                <w:szCs w:val="20"/>
                <w:color w:val="auto"/>
              </w:rPr>
            </w:pPr>
            <w:r>
              <w:rPr>
                <w:rFonts w:ascii="Arial" w:cs="Arial" w:eastAsia="Arial" w:hAnsi="Arial"/>
                <w:sz w:val="20"/>
                <w:szCs w:val="20"/>
                <w:color w:val="333333"/>
              </w:rPr>
              <w:t>Director</w:t>
            </w:r>
          </w:p>
        </w:tc>
        <w:tc>
          <w:tcPr>
            <w:tcW w:w="3620" w:type="dxa"/>
            <w:vAlign w:val="bottom"/>
          </w:tcPr>
          <w:p>
            <w:pPr>
              <w:ind w:left="840"/>
              <w:spacing w:after="0"/>
              <w:rPr>
                <w:sz w:val="20"/>
                <w:szCs w:val="20"/>
                <w:color w:val="auto"/>
              </w:rPr>
            </w:pPr>
            <w:r>
              <w:rPr>
                <w:rFonts w:ascii="Arial" w:cs="Arial" w:eastAsia="Arial" w:hAnsi="Arial"/>
                <w:sz w:val="20"/>
                <w:szCs w:val="20"/>
                <w:color w:val="333333"/>
              </w:rPr>
              <w:t>Director</w:t>
            </w:r>
          </w:p>
        </w:tc>
        <w:tc>
          <w:tcPr>
            <w:tcW w:w="2800" w:type="dxa"/>
            <w:vAlign w:val="bottom"/>
          </w:tcPr>
          <w:p>
            <w:pPr>
              <w:ind w:left="860"/>
              <w:spacing w:after="0"/>
              <w:rPr>
                <w:sz w:val="20"/>
                <w:szCs w:val="20"/>
                <w:color w:val="auto"/>
              </w:rPr>
            </w:pPr>
            <w:r>
              <w:rPr>
                <w:rFonts w:ascii="Arial" w:cs="Arial" w:eastAsia="Arial" w:hAnsi="Arial"/>
                <w:sz w:val="20"/>
                <w:szCs w:val="20"/>
                <w:color w:val="333333"/>
              </w:rPr>
              <w:t>Director</w:t>
            </w:r>
          </w:p>
        </w:tc>
      </w:tr>
      <w:tr>
        <w:trPr>
          <w:trHeight w:val="956"/>
        </w:trPr>
        <w:tc>
          <w:tcPr>
            <w:tcW w:w="2800" w:type="dxa"/>
            <w:vAlign w:val="bottom"/>
          </w:tcPr>
          <w:p>
            <w:pPr>
              <w:spacing w:after="0"/>
              <w:rPr>
                <w:sz w:val="20"/>
                <w:szCs w:val="20"/>
                <w:color w:val="auto"/>
              </w:rPr>
            </w:pPr>
            <w:r>
              <w:rPr>
                <w:rFonts w:ascii="Arial" w:cs="Arial" w:eastAsia="Arial" w:hAnsi="Arial"/>
                <w:sz w:val="20"/>
                <w:szCs w:val="20"/>
                <w:b w:val="1"/>
                <w:bCs w:val="1"/>
                <w:color w:val="333333"/>
              </w:rPr>
              <w:t>ROBERT WILLETT</w:t>
            </w:r>
          </w:p>
        </w:tc>
        <w:tc>
          <w:tcPr>
            <w:tcW w:w="36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40"/>
        </w:trPr>
        <w:tc>
          <w:tcPr>
            <w:tcW w:w="2800" w:type="dxa"/>
            <w:vAlign w:val="bottom"/>
          </w:tcPr>
          <w:p>
            <w:pPr>
              <w:spacing w:after="0"/>
              <w:rPr>
                <w:sz w:val="20"/>
                <w:szCs w:val="20"/>
                <w:color w:val="auto"/>
              </w:rPr>
            </w:pPr>
            <w:r>
              <w:rPr>
                <w:rFonts w:ascii="Arial" w:cs="Arial" w:eastAsia="Arial" w:hAnsi="Arial"/>
                <w:sz w:val="20"/>
                <w:szCs w:val="20"/>
                <w:color w:val="333333"/>
              </w:rPr>
              <w:t>Director</w:t>
            </w:r>
          </w:p>
        </w:tc>
        <w:tc>
          <w:tcPr>
            <w:tcW w:w="36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1050925</wp:posOffset>
            </wp:positionV>
            <wp:extent cx="374650" cy="349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4650" cy="34988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-2677795</wp:posOffset>
            </wp:positionV>
            <wp:extent cx="5285740" cy="2997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85740" cy="2997835"/>
                    </a:xfrm>
                    <a:prstGeom prst="rect">
                      <a:avLst/>
                    </a:prstGeom>
                    <a:noFill/>
                  </pic:spPr>
                </pic:pic>
              </a:graphicData>
            </a:graphic>
          </wp:anchor>
        </w:drawing>
      </w:r>
    </w:p>
    <w:p>
      <w:pPr>
        <w:sectPr>
          <w:pgSz w:w="11880" w:h="15481" w:orient="portrait"/>
          <w:cols w:equalWidth="0" w:num="1">
            <w:col w:w="10620"/>
          </w:cols>
          <w:pgMar w:left="540" w:top="677" w:right="7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Arial" w:cs="Arial" w:eastAsia="Arial" w:hAnsi="Arial"/>
                <w:sz w:val="16"/>
                <w:szCs w:val="16"/>
                <w:i w:val="1"/>
                <w:iCs w:val="1"/>
                <w:color w:val="333333"/>
              </w:rPr>
              <w:t>* officer of a wholly-owned subsidiary of the parent</w:t>
            </w:r>
          </w:p>
        </w:tc>
        <w:tc>
          <w:tcPr>
            <w:tcW w:w="1480" w:type="dxa"/>
            <w:vAlign w:val="bottom"/>
            <w:vMerge w:val="restart"/>
          </w:tcPr>
          <w:p>
            <w:pPr>
              <w:jc w:val="right"/>
              <w:ind w:right="320"/>
              <w:spacing w:after="0"/>
              <w:rPr>
                <w:sz w:val="20"/>
                <w:szCs w:val="20"/>
                <w:color w:val="auto"/>
              </w:rPr>
            </w:pPr>
            <w:r>
              <w:rPr>
                <w:rFonts w:ascii="Arial" w:cs="Arial" w:eastAsia="Arial" w:hAnsi="Arial"/>
                <w:sz w:val="20"/>
                <w:szCs w:val="20"/>
                <w:color w:val="666666"/>
              </w:rPr>
              <w:t>4</w:t>
            </w:r>
          </w:p>
        </w:tc>
        <w:tc>
          <w:tcPr>
            <w:tcW w:w="4760" w:type="dxa"/>
            <w:vAlign w:val="bottom"/>
            <w:vMerge w:val="restart"/>
          </w:tcPr>
          <w:p>
            <w:pPr>
              <w:ind w:left="400"/>
              <w:spacing w:after="0"/>
              <w:rPr>
                <w:sz w:val="20"/>
                <w:szCs w:val="20"/>
                <w:color w:val="auto"/>
              </w:rPr>
            </w:pPr>
            <w:r>
              <w:rPr>
                <w:rFonts w:ascii="Arial" w:cs="Arial" w:eastAsia="Arial" w:hAnsi="Arial"/>
                <w:sz w:val="20"/>
                <w:szCs w:val="20"/>
                <w:b w:val="1"/>
                <w:bCs w:val="1"/>
                <w:color w:val="333333"/>
                <w:w w:val="92"/>
              </w:rPr>
              <w:t>CLEAN HARBORS, INC. | ANNUAL REPORT 2024</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i w:val="1"/>
                <w:iCs w:val="1"/>
                <w:color w:val="333333"/>
              </w:rPr>
              <w:t>holding company, Clean Harbors, Inc.</w:t>
            </w:r>
          </w:p>
        </w:tc>
        <w:tc>
          <w:tcPr>
            <w:tcW w:w="1480" w:type="dxa"/>
            <w:vAlign w:val="bottom"/>
            <w:vMerge w:val="continue"/>
          </w:tcPr>
          <w:p>
            <w:pPr>
              <w:spacing w:after="0"/>
              <w:rPr>
                <w:sz w:val="18"/>
                <w:szCs w:val="18"/>
                <w:color w:val="auto"/>
              </w:rPr>
            </w:pPr>
          </w:p>
        </w:tc>
        <w:tc>
          <w:tcPr>
            <w:tcW w:w="4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210820</wp:posOffset>
            </wp:positionV>
            <wp:extent cx="4763" cy="4763"/>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7197725</wp:posOffset>
            </wp:positionH>
            <wp:positionV relativeFrom="paragraph">
              <wp:posOffset>210820</wp:posOffset>
            </wp:positionV>
            <wp:extent cx="4763" cy="4763"/>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1880" w:h="15481" w:orient="portrait"/>
          <w:cols w:equalWidth="0" w:num="1">
            <w:col w:w="10620"/>
          </w:cols>
          <w:pgMar w:left="540" w:top="677" w:right="721" w:bottom="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31115</wp:posOffset>
            </wp:positionV>
            <wp:extent cx="412432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24325" cy="12700"/>
                    </a:xfrm>
                    <a:prstGeom prst="rect">
                      <a:avLst/>
                    </a:prstGeom>
                    <a:noFill/>
                  </pic:spPr>
                </pic:pic>
              </a:graphicData>
            </a:graphic>
          </wp:anchor>
        </w:drawing>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127" w:lineRule="exact"/>
        <w:rPr>
          <w:sz w:val="20"/>
          <w:szCs w:val="20"/>
          <w:color w:val="auto"/>
        </w:rPr>
      </w:pPr>
    </w:p>
    <w:p>
      <w:pPr>
        <w:ind w:left="1120" w:hanging="475"/>
        <w:spacing w:after="0"/>
        <w:tabs>
          <w:tab w:leader="none" w:pos="1120" w:val="left"/>
        </w:tabs>
        <w:numPr>
          <w:ilvl w:val="0"/>
          <w:numId w:val="4"/>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3" w:lineRule="exact"/>
        <w:rPr>
          <w:sz w:val="20"/>
          <w:szCs w:val="20"/>
          <w:color w:val="auto"/>
        </w:rPr>
      </w:pPr>
    </w:p>
    <w:p>
      <w:pPr>
        <w:ind w:left="2600"/>
        <w:spacing w:after="0"/>
        <w:tabs>
          <w:tab w:leader="none" w:pos="578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7"/>
          <w:szCs w:val="17"/>
          <w:b w:val="1"/>
          <w:bCs w:val="1"/>
          <w:color w:val="auto"/>
        </w:rPr>
        <w:t>DECEMBER 31, 2024</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 w:lineRule="exact"/>
        <w:rPr>
          <w:sz w:val="20"/>
          <w:szCs w:val="20"/>
          <w:color w:val="auto"/>
        </w:rPr>
      </w:pPr>
    </w:p>
    <w:p>
      <w:pPr>
        <w:ind w:left="1100" w:hanging="455"/>
        <w:spacing w:after="0"/>
        <w:tabs>
          <w:tab w:leader="none" w:pos="1100" w:val="left"/>
        </w:tabs>
        <w:numPr>
          <w:ilvl w:val="0"/>
          <w:numId w:val="5"/>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3" w:lineRule="exact"/>
        <w:rPr>
          <w:sz w:val="20"/>
          <w:szCs w:val="20"/>
          <w:color w:val="auto"/>
        </w:rPr>
      </w:pPr>
    </w:p>
    <w:p>
      <w:pPr>
        <w:ind w:left="1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001-34223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72390</wp:posOffset>
            </wp:positionV>
            <wp:extent cx="4124325"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24325" cy="12700"/>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180340</wp:posOffset>
            </wp:positionV>
            <wp:extent cx="2011680" cy="619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11680" cy="61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CLEAN HARBORS,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78105</wp:posOffset>
            </wp:positionV>
            <wp:extent cx="4124325"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24325" cy="12700"/>
                    </a:xfrm>
                    <a:prstGeom prst="rect">
                      <a:avLst/>
                    </a:prstGeom>
                    <a:noFill/>
                  </pic:spPr>
                </pic:pic>
              </a:graphicData>
            </a:graphic>
          </wp:anchor>
        </w:drawing>
      </w:r>
    </w:p>
    <w:p>
      <w:pPr>
        <w:spacing w:after="0" w:line="244" w:lineRule="exact"/>
        <w:rPr>
          <w:sz w:val="20"/>
          <w:szCs w:val="20"/>
          <w:color w:val="auto"/>
        </w:rPr>
      </w:pPr>
    </w:p>
    <w:tbl>
      <w:tblPr>
        <w:tblLayout w:type="fixed"/>
        <w:tblInd w:w="620" w:type="dxa"/>
        <w:tblCellMar>
          <w:top w:w="0" w:type="dxa"/>
          <w:left w:w="0" w:type="dxa"/>
          <w:bottom w:w="0" w:type="dxa"/>
          <w:right w:w="0" w:type="dxa"/>
        </w:tblCellMar>
      </w:tblPr>
      <w:tr>
        <w:trPr>
          <w:trHeight w:val="228"/>
        </w:trPr>
        <w:tc>
          <w:tcPr>
            <w:tcW w:w="5660" w:type="dxa"/>
            <w:vAlign w:val="bottom"/>
          </w:tcPr>
          <w:p>
            <w:pPr>
              <w:jc w:val="center"/>
              <w:ind w:right="750"/>
              <w:spacing w:after="0"/>
              <w:rPr>
                <w:sz w:val="20"/>
                <w:szCs w:val="20"/>
                <w:color w:val="auto"/>
              </w:rPr>
            </w:pPr>
            <w:r>
              <w:rPr>
                <w:rFonts w:ascii="Arial" w:cs="Arial" w:eastAsia="Arial" w:hAnsi="Arial"/>
                <w:sz w:val="18"/>
                <w:szCs w:val="18"/>
                <w:b w:val="1"/>
                <w:bCs w:val="1"/>
                <w:color w:val="auto"/>
                <w:w w:val="85"/>
              </w:rPr>
              <w:t>Massachusetts</w:t>
            </w:r>
          </w:p>
        </w:tc>
        <w:tc>
          <w:tcPr>
            <w:tcW w:w="37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04-2997780</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720" w:type="dxa"/>
            <w:vAlign w:val="bottom"/>
          </w:tcPr>
          <w:p>
            <w:pPr>
              <w:jc w:val="center"/>
              <w:ind w:left="1150"/>
              <w:spacing w:after="0"/>
              <w:rPr>
                <w:sz w:val="20"/>
                <w:szCs w:val="20"/>
                <w:color w:val="auto"/>
              </w:rPr>
            </w:pPr>
            <w:r>
              <w:rPr>
                <w:rFonts w:ascii="Arial" w:cs="Arial" w:eastAsia="Arial" w:hAnsi="Arial"/>
                <w:sz w:val="18"/>
                <w:szCs w:val="18"/>
                <w:color w:val="auto"/>
                <w:w w:val="94"/>
              </w:rPr>
              <w:t>(IRS Employer Identification No.)</w:t>
            </w:r>
          </w:p>
        </w:tc>
      </w:tr>
      <w:tr>
        <w:trPr>
          <w:trHeight w:val="228"/>
        </w:trPr>
        <w:tc>
          <w:tcPr>
            <w:tcW w:w="5660" w:type="dxa"/>
            <w:vAlign w:val="bottom"/>
          </w:tcPr>
          <w:p>
            <w:pPr>
              <w:ind w:left="1020"/>
              <w:spacing w:after="0"/>
              <w:rPr>
                <w:sz w:val="20"/>
                <w:szCs w:val="20"/>
                <w:color w:val="auto"/>
              </w:rPr>
            </w:pPr>
            <w:r>
              <w:rPr>
                <w:rFonts w:ascii="Arial" w:cs="Arial" w:eastAsia="Arial" w:hAnsi="Arial"/>
                <w:sz w:val="18"/>
                <w:szCs w:val="18"/>
                <w:b w:val="1"/>
                <w:bCs w:val="1"/>
                <w:color w:val="auto"/>
              </w:rPr>
              <w:t>42 Longwater Drive Norwell  MA</w:t>
            </w:r>
          </w:p>
        </w:tc>
        <w:tc>
          <w:tcPr>
            <w:tcW w:w="37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02061-9149</w:t>
            </w:r>
          </w:p>
        </w:tc>
      </w:tr>
      <w:tr>
        <w:trPr>
          <w:trHeight w:val="235"/>
        </w:trPr>
        <w:tc>
          <w:tcPr>
            <w:tcW w:w="566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left="1150"/>
              <w:spacing w:after="0"/>
              <w:rPr>
                <w:sz w:val="20"/>
                <w:szCs w:val="20"/>
                <w:color w:val="auto"/>
              </w:rPr>
            </w:pPr>
            <w:r>
              <w:rPr>
                <w:rFonts w:ascii="Arial" w:cs="Arial" w:eastAsia="Arial" w:hAnsi="Arial"/>
                <w:sz w:val="18"/>
                <w:szCs w:val="18"/>
                <w:color w:val="auto"/>
                <w:w w:val="94"/>
              </w:rPr>
              <w:t>(Zip Code)</w:t>
            </w:r>
          </w:p>
        </w:tc>
      </w:tr>
    </w:tbl>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792-5000</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103" w:lineRule="exact"/>
        <w:rPr>
          <w:sz w:val="20"/>
          <w:szCs w:val="20"/>
          <w:color w:val="auto"/>
        </w:rPr>
      </w:pPr>
    </w:p>
    <w:tbl>
      <w:tblPr>
        <w:tblLayout w:type="fixed"/>
        <w:tblInd w:w="140" w:type="dxa"/>
        <w:tblCellMar>
          <w:top w:w="0" w:type="dxa"/>
          <w:left w:w="0" w:type="dxa"/>
          <w:bottom w:w="0" w:type="dxa"/>
          <w:right w:w="0" w:type="dxa"/>
        </w:tblCellMar>
      </w:tblPr>
      <w:tr>
        <w:trPr>
          <w:trHeight w:val="24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8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60" w:type="dxa"/>
            <w:vAlign w:val="bottom"/>
          </w:tcPr>
          <w:p>
            <w:pPr>
              <w:spacing w:after="0"/>
              <w:rPr>
                <w:sz w:val="21"/>
                <w:szCs w:val="21"/>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5"/>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CLH</w:t>
            </w:r>
          </w:p>
        </w:tc>
        <w:tc>
          <w:tcPr>
            <w:tcW w:w="6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03" w:lineRule="exact"/>
        <w:rPr>
          <w:sz w:val="20"/>
          <w:szCs w:val="20"/>
          <w:color w:val="auto"/>
        </w:rPr>
      </w:pPr>
    </w:p>
    <w:p>
      <w:pPr>
        <w:ind w:right="2220"/>
        <w:spacing w:after="0" w:line="24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w:cs="Arial" w:eastAsia="Arial" w:hAnsi="Arial"/>
          <w:sz w:val="14"/>
          <w:szCs w:val="14"/>
          <w:b w:val="1"/>
          <w:bCs w:val="1"/>
          <w:color w:val="auto"/>
        </w:rPr>
        <w:t>ý</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ý</w:t>
      </w:r>
    </w:p>
    <w:p>
      <w:pPr>
        <w:spacing w:after="0" w:line="42" w:lineRule="exact"/>
        <w:rPr>
          <w:sz w:val="20"/>
          <w:szCs w:val="20"/>
          <w:color w:val="auto"/>
        </w:rPr>
      </w:pPr>
    </w:p>
    <w:p>
      <w:pPr>
        <w:ind w:right="26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b w:val="1"/>
          <w:bCs w:val="1"/>
          <w:color w:val="auto"/>
        </w:rPr>
        <w:t>ý</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spacing w:after="0" w:line="42" w:lineRule="exact"/>
        <w:rPr>
          <w:sz w:val="20"/>
          <w:szCs w:val="20"/>
          <w:color w:val="auto"/>
        </w:rPr>
      </w:pPr>
    </w:p>
    <w:p>
      <w:pPr>
        <w:ind w:right="80"/>
        <w:spacing w:after="0" w:line="20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b w:val="1"/>
          <w:bCs w:val="1"/>
          <w:color w:val="auto"/>
        </w:rPr>
        <w:t>ý</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4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0"/>
          <w:szCs w:val="20"/>
          <w:color w:val="auto"/>
        </w:rPr>
      </w:pPr>
    </w:p>
    <w:tbl>
      <w:tblPr>
        <w:tblLayout w:type="fixed"/>
        <w:tblInd w:w="2460" w:type="dxa"/>
        <w:tblCellMar>
          <w:top w:w="0" w:type="dxa"/>
          <w:left w:w="0" w:type="dxa"/>
          <w:bottom w:w="0" w:type="dxa"/>
          <w:right w:w="0" w:type="dxa"/>
        </w:tblCellMar>
      </w:tblPr>
      <w:tr>
        <w:trPr>
          <w:trHeight w:val="195"/>
        </w:trPr>
        <w:tc>
          <w:tcPr>
            <w:tcW w:w="1520" w:type="dxa"/>
            <w:vAlign w:val="bottom"/>
          </w:tcPr>
          <w:p>
            <w:pPr>
              <w:jc w:val="right"/>
              <w:spacing w:after="0"/>
              <w:rPr>
                <w:sz w:val="20"/>
                <w:szCs w:val="20"/>
                <w:color w:val="auto"/>
              </w:rPr>
            </w:pPr>
            <w:r>
              <w:rPr>
                <w:rFonts w:ascii="Arial" w:cs="Arial" w:eastAsia="Arial" w:hAnsi="Arial"/>
                <w:sz w:val="16"/>
                <w:szCs w:val="16"/>
                <w:color w:val="auto"/>
                <w:w w:val="89"/>
              </w:rPr>
              <w:t>Large accelerated filer</w:t>
            </w:r>
          </w:p>
        </w:tc>
        <w:tc>
          <w:tcPr>
            <w:tcW w:w="1260" w:type="dxa"/>
            <w:vAlign w:val="bottom"/>
          </w:tcPr>
          <w:p>
            <w:pPr>
              <w:ind w:left="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860" w:type="dxa"/>
            <w:vAlign w:val="bottom"/>
          </w:tcPr>
          <w:p>
            <w:pPr>
              <w:jc w:val="right"/>
              <w:spacing w:after="0"/>
              <w:rPr>
                <w:sz w:val="20"/>
                <w:szCs w:val="20"/>
                <w:color w:val="auto"/>
              </w:rPr>
            </w:pPr>
            <w:r>
              <w:rPr>
                <w:rFonts w:ascii="Arial" w:cs="Arial" w:eastAsia="Arial" w:hAnsi="Arial"/>
                <w:sz w:val="16"/>
                <w:szCs w:val="16"/>
                <w:color w:val="auto"/>
              </w:rPr>
              <w:t>Accelerated filer</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195"/>
        </w:trPr>
        <w:tc>
          <w:tcPr>
            <w:tcW w:w="1520" w:type="dxa"/>
            <w:vAlign w:val="bottom"/>
          </w:tcPr>
          <w:p>
            <w:pPr>
              <w:jc w:val="right"/>
              <w:spacing w:after="0"/>
              <w:rPr>
                <w:sz w:val="20"/>
                <w:szCs w:val="20"/>
                <w:color w:val="auto"/>
              </w:rPr>
            </w:pPr>
            <w:r>
              <w:rPr>
                <w:rFonts w:ascii="Arial" w:cs="Arial" w:eastAsia="Arial" w:hAnsi="Arial"/>
                <w:sz w:val="16"/>
                <w:szCs w:val="16"/>
                <w:color w:val="auto"/>
                <w:w w:val="96"/>
              </w:rPr>
              <w:t>Non-accelerated filer</w:t>
            </w:r>
          </w:p>
        </w:tc>
        <w:tc>
          <w:tcPr>
            <w:tcW w:w="1260" w:type="dxa"/>
            <w:vAlign w:val="bottom"/>
          </w:tcPr>
          <w:p>
            <w:pPr>
              <w:ind w:left="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860" w:type="dxa"/>
            <w:vAlign w:val="bottom"/>
          </w:tcPr>
          <w:p>
            <w:pPr>
              <w:jc w:val="right"/>
              <w:spacing w:after="0"/>
              <w:rPr>
                <w:sz w:val="20"/>
                <w:szCs w:val="20"/>
                <w:color w:val="auto"/>
              </w:rPr>
            </w:pPr>
            <w:r>
              <w:rPr>
                <w:rFonts w:ascii="Arial" w:cs="Arial" w:eastAsia="Arial" w:hAnsi="Arial"/>
                <w:sz w:val="16"/>
                <w:szCs w:val="16"/>
                <w:color w:val="auto"/>
              </w:rPr>
              <w:t>Smaller reporting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24"/>
        </w:trPr>
        <w:tc>
          <w:tcPr>
            <w:tcW w:w="1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6"/>
                <w:szCs w:val="16"/>
                <w:color w:val="auto"/>
              </w:rPr>
              <w:t>Emerging growth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136" w:lineRule="exact"/>
        <w:rPr>
          <w:sz w:val="20"/>
          <w:szCs w:val="20"/>
          <w:color w:val="auto"/>
        </w:rPr>
      </w:pPr>
    </w:p>
    <w:p>
      <w:pPr>
        <w:ind w:right="24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50" w:lineRule="exact"/>
        <w:rPr>
          <w:sz w:val="20"/>
          <w:szCs w:val="20"/>
          <w:color w:val="auto"/>
        </w:rPr>
      </w:pPr>
    </w:p>
    <w:p>
      <w:pPr>
        <w:ind w:right="480"/>
        <w:spacing w:after="0" w:line="202"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46" w:lineRule="exact"/>
        <w:rPr>
          <w:sz w:val="20"/>
          <w:szCs w:val="20"/>
          <w:color w:val="auto"/>
        </w:rPr>
      </w:pPr>
    </w:p>
    <w:p>
      <w:pPr>
        <w:spacing w:after="0" w:line="205"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50" w:lineRule="exact"/>
        <w:rPr>
          <w:sz w:val="20"/>
          <w:szCs w:val="20"/>
          <w:color w:val="auto"/>
        </w:rPr>
      </w:pPr>
    </w:p>
    <w:p>
      <w:pPr>
        <w:spacing w:after="0" w:line="205"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51" w:lineRule="exact"/>
        <w:rPr>
          <w:sz w:val="20"/>
          <w:szCs w:val="20"/>
          <w:color w:val="auto"/>
        </w:rPr>
      </w:pPr>
    </w:p>
    <w:p>
      <w:pPr>
        <w:spacing w:after="0" w:line="184" w:lineRule="exact"/>
        <w:tabs>
          <w:tab w:leader="none" w:pos="78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b w:val="1"/>
          <w:bCs w:val="1"/>
          <w:color w:val="auto"/>
        </w:rPr>
        <w:t>☐</w:t>
      </w:r>
      <w:r>
        <w:rPr>
          <w:sz w:val="20"/>
          <w:szCs w:val="20"/>
          <w:color w:val="auto"/>
        </w:rPr>
        <w:tab/>
      </w:r>
      <w:r>
        <w:rPr>
          <w:rFonts w:ascii="Arial" w:cs="Arial" w:eastAsia="Arial" w:hAnsi="Arial"/>
          <w:sz w:val="16"/>
          <w:szCs w:val="16"/>
          <w:color w:val="auto"/>
        </w:rPr>
        <w:t xml:space="preserve">No </w:t>
      </w:r>
      <w:r>
        <w:rPr>
          <w:rFonts w:ascii="Arial" w:cs="Arial" w:eastAsia="Arial" w:hAnsi="Arial"/>
          <w:sz w:val="16"/>
          <w:szCs w:val="16"/>
          <w:b w:val="1"/>
          <w:bCs w:val="1"/>
          <w:color w:val="auto"/>
        </w:rPr>
        <w:t>ý</w:t>
      </w:r>
    </w:p>
    <w:p>
      <w:pPr>
        <w:spacing w:after="0" w:line="8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(assuming for these purposes, but without conceding, that all executive officers and directors are “affiliates”) as of June 28, 2024 was approximately $11.5 billion, based on the closing sale price of the registrant’s common stock on that date as reported on the New York Stock Exchange.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On February 12, 2025, there were 53,856,836 shares of Common Stock, $0.01 par value, outstanding.</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880" w:h="15480" w:orient="portrait"/>
          <w:cols w:equalWidth="0" w:num="1">
            <w:col w:w="10780"/>
          </w:cols>
          <w:pgMar w:left="540" w:top="456" w:right="560" w:bottom="0" w:gutter="0" w:footer="0" w:header="0"/>
        </w:sectPr>
      </w:pPr>
    </w:p>
    <w:p>
      <w:pPr>
        <w:spacing w:after="0" w:line="97"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Portions of the registrant’s proxy statement for the 2025 Annual Meeting of Shareholders are incorporated by reference in Part III of this Form 10-K to the extent described herein.</w:t>
      </w:r>
    </w:p>
    <w:p>
      <w:pPr>
        <w:sectPr>
          <w:pgSz w:w="11880" w:h="15480" w:orient="portrait"/>
          <w:cols w:equalWidth="0" w:num="1">
            <w:col w:w="10780"/>
          </w:cols>
          <w:pgMar w:left="540" w:top="456" w:right="560" w:bottom="0" w:gutter="0" w:footer="0" w:header="0"/>
          <w:type w:val="continuous"/>
        </w:sectPr>
      </w:pPr>
    </w:p>
    <w:bookmarkStart w:id="7" w:name="page8"/>
    <w:bookmarkEnd w:id="7"/>
    <w:p>
      <w:pPr>
        <w:jc w:val="center"/>
        <w:ind w:left="880"/>
        <w:spacing w:after="0"/>
        <w:rPr>
          <w:sz w:val="20"/>
          <w:szCs w:val="20"/>
          <w:color w:val="auto"/>
        </w:rPr>
      </w:pPr>
      <w:r>
        <w:rPr>
          <w:rFonts w:ascii="Arial" w:cs="Arial" w:eastAsia="Arial" w:hAnsi="Arial"/>
          <w:sz w:val="20"/>
          <w:szCs w:val="20"/>
          <w:b w:val="1"/>
          <w:bCs w:val="1"/>
          <w:color w:val="auto"/>
        </w:rPr>
        <w:t>CLEAN HARBORS, INC.</w:t>
      </w:r>
    </w:p>
    <w:p>
      <w:pPr>
        <w:spacing w:after="0" w:line="105" w:lineRule="exact"/>
        <w:rPr>
          <w:sz w:val="20"/>
          <w:szCs w:val="20"/>
          <w:color w:val="auto"/>
        </w:rPr>
      </w:pPr>
    </w:p>
    <w:p>
      <w:pPr>
        <w:jc w:val="center"/>
        <w:ind w:left="880"/>
        <w:spacing w:after="0"/>
        <w:rPr>
          <w:sz w:val="20"/>
          <w:szCs w:val="20"/>
          <w:color w:val="auto"/>
        </w:rPr>
      </w:pPr>
      <w:r>
        <w:rPr>
          <w:rFonts w:ascii="Arial" w:cs="Arial" w:eastAsia="Arial" w:hAnsi="Arial"/>
          <w:sz w:val="20"/>
          <w:szCs w:val="20"/>
          <w:b w:val="1"/>
          <w:bCs w:val="1"/>
          <w:color w:val="auto"/>
        </w:rPr>
        <w:t>ANNUAL REPORT ON FORM 10-K</w:t>
      </w:r>
    </w:p>
    <w:p>
      <w:pPr>
        <w:spacing w:after="0" w:line="105" w:lineRule="exact"/>
        <w:rPr>
          <w:sz w:val="20"/>
          <w:szCs w:val="20"/>
          <w:color w:val="auto"/>
        </w:rPr>
      </w:pPr>
    </w:p>
    <w:p>
      <w:pPr>
        <w:jc w:val="center"/>
        <w:ind w:left="880"/>
        <w:spacing w:after="0"/>
        <w:rPr>
          <w:sz w:val="20"/>
          <w:szCs w:val="20"/>
          <w:color w:val="auto"/>
        </w:rPr>
      </w:pPr>
      <w:r>
        <w:rPr>
          <w:rFonts w:ascii="Arial" w:cs="Arial" w:eastAsia="Arial" w:hAnsi="Arial"/>
          <w:sz w:val="20"/>
          <w:szCs w:val="20"/>
          <w:b w:val="1"/>
          <w:bCs w:val="1"/>
          <w:color w:val="auto"/>
        </w:rPr>
        <w:t>YEAR ENDED DECEMBER 31, 2024</w:t>
      </w:r>
    </w:p>
    <w:p>
      <w:pPr>
        <w:spacing w:after="0" w:line="105" w:lineRule="exact"/>
        <w:rPr>
          <w:sz w:val="20"/>
          <w:szCs w:val="20"/>
          <w:color w:val="auto"/>
        </w:rPr>
      </w:pPr>
    </w:p>
    <w:p>
      <w:pPr>
        <w:jc w:val="center"/>
        <w:ind w:left="88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72"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6"/>
          <w:szCs w:val="16"/>
          <w:color w:val="auto"/>
        </w:rPr>
        <w:t>Business</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1A.</w:t>
      </w:r>
      <w:r>
        <w:rPr>
          <w:sz w:val="20"/>
          <w:szCs w:val="20"/>
          <w:color w:val="auto"/>
        </w:rPr>
        <w:tab/>
      </w:r>
      <w:r>
        <w:rPr>
          <w:rFonts w:ascii="Arial" w:cs="Arial" w:eastAsia="Arial" w:hAnsi="Arial"/>
          <w:sz w:val="16"/>
          <w:szCs w:val="16"/>
          <w:color w:val="auto"/>
        </w:rPr>
        <w:t>Risk Factors</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1B.</w:t>
      </w:r>
      <w:r>
        <w:rPr>
          <w:sz w:val="20"/>
          <w:szCs w:val="20"/>
          <w:color w:val="auto"/>
        </w:rPr>
        <w:tab/>
      </w:r>
      <w:r>
        <w:rPr>
          <w:rFonts w:ascii="Arial" w:cs="Arial" w:eastAsia="Arial" w:hAnsi="Arial"/>
          <w:sz w:val="18"/>
          <w:szCs w:val="18"/>
          <w:color w:val="auto"/>
        </w:rPr>
        <w:t>Unresolved Staff Comments</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1C.</w:t>
      </w:r>
      <w:r>
        <w:rPr>
          <w:sz w:val="20"/>
          <w:szCs w:val="20"/>
          <w:color w:val="auto"/>
        </w:rPr>
        <w:tab/>
      </w:r>
      <w:r>
        <w:rPr>
          <w:rFonts w:ascii="Arial" w:cs="Arial" w:eastAsia="Arial" w:hAnsi="Arial"/>
          <w:sz w:val="18"/>
          <w:szCs w:val="18"/>
          <w:color w:val="auto"/>
        </w:rPr>
        <w:t>Cybersecurity</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6"/>
          <w:szCs w:val="16"/>
          <w:color w:val="auto"/>
        </w:rPr>
        <w:t>Properties</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6"/>
          <w:szCs w:val="16"/>
          <w:color w:val="auto"/>
        </w:rPr>
        <w:t>Legal Proceedings</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8"/>
          <w:szCs w:val="18"/>
          <w:color w:val="auto"/>
        </w:rPr>
        <w:t>Mine Safety Disclosures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39"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Market for the Registrant's Common Equity, Related Stockholder Matters and Issuer Purchases of</w:t>
      </w:r>
    </w:p>
    <w:p>
      <w:pPr>
        <w:ind w:left="1400"/>
        <w:spacing w:after="0"/>
        <w:rPr>
          <w:sz w:val="20"/>
          <w:szCs w:val="20"/>
          <w:color w:val="auto"/>
        </w:rPr>
      </w:pPr>
      <w:r>
        <w:rPr>
          <w:rFonts w:ascii="Arial" w:cs="Arial" w:eastAsia="Arial" w:hAnsi="Arial"/>
          <w:sz w:val="20"/>
          <w:szCs w:val="20"/>
          <w:color w:val="auto"/>
        </w:rPr>
        <w:t>Equity Securities</w:t>
      </w:r>
    </w:p>
    <w:p>
      <w:pPr>
        <w:spacing w:after="0" w:line="61"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6"/>
          <w:szCs w:val="16"/>
          <w:color w:val="auto"/>
        </w:rPr>
        <w:t>Reserved</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7A.</w:t>
      </w:r>
      <w:r>
        <w:rPr>
          <w:sz w:val="20"/>
          <w:szCs w:val="20"/>
          <w:color w:val="auto"/>
        </w:rPr>
        <w:tab/>
      </w:r>
      <w:r>
        <w:rPr>
          <w:rFonts w:ascii="Arial" w:cs="Arial" w:eastAsia="Arial" w:hAnsi="Arial"/>
          <w:sz w:val="18"/>
          <w:szCs w:val="18"/>
          <w:color w:val="auto"/>
        </w:rPr>
        <w:t>Quantitative and Qualitative Disclosures About Market Risk</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6"/>
          <w:szCs w:val="16"/>
          <w:color w:val="auto"/>
        </w:rPr>
        <w:t>Financial Statements and Supplementary Data</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6"/>
          <w:szCs w:val="16"/>
          <w:color w:val="auto"/>
        </w:rPr>
        <w:t>Changes in and Disagreements with Accountants on Accounting and Financial Disclosure</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9A.</w:t>
      </w:r>
      <w:r>
        <w:rPr>
          <w:sz w:val="20"/>
          <w:szCs w:val="20"/>
          <w:color w:val="auto"/>
        </w:rPr>
        <w:tab/>
      </w:r>
      <w:r>
        <w:rPr>
          <w:rFonts w:ascii="Arial" w:cs="Arial" w:eastAsia="Arial" w:hAnsi="Arial"/>
          <w:sz w:val="16"/>
          <w:szCs w:val="16"/>
          <w:color w:val="auto"/>
        </w:rPr>
        <w:t>Controls and Procedures</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9B.</w:t>
      </w:r>
      <w:r>
        <w:rPr>
          <w:sz w:val="20"/>
          <w:szCs w:val="20"/>
          <w:color w:val="auto"/>
        </w:rPr>
        <w:tab/>
      </w:r>
      <w:r>
        <w:rPr>
          <w:rFonts w:ascii="Arial" w:cs="Arial" w:eastAsia="Arial" w:hAnsi="Arial"/>
          <w:sz w:val="18"/>
          <w:szCs w:val="18"/>
          <w:color w:val="auto"/>
        </w:rPr>
        <w:t>Other Information</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9C.</w:t>
      </w:r>
      <w:r>
        <w:rPr>
          <w:sz w:val="20"/>
          <w:szCs w:val="20"/>
          <w:color w:val="auto"/>
        </w:rPr>
        <w:tab/>
      </w:r>
      <w:r>
        <w:rPr>
          <w:rFonts w:ascii="Arial" w:cs="Arial" w:eastAsia="Arial" w:hAnsi="Arial"/>
          <w:sz w:val="16"/>
          <w:szCs w:val="16"/>
          <w:color w:val="auto"/>
        </w:rPr>
        <w:t>Disclosure Regarding Foreign Jurisdictions that Prevent Inspections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72"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6"/>
          <w:szCs w:val="16"/>
          <w:color w:val="auto"/>
        </w:rPr>
        <w:t>Directors, Executive Officers and Corporate Governance</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11.</w:t>
      </w:r>
      <w:r>
        <w:rPr>
          <w:sz w:val="20"/>
          <w:szCs w:val="20"/>
          <w:color w:val="auto"/>
        </w:rPr>
        <w:tab/>
      </w:r>
      <w:r>
        <w:rPr>
          <w:rFonts w:ascii="Arial" w:cs="Arial" w:eastAsia="Arial" w:hAnsi="Arial"/>
          <w:sz w:val="16"/>
          <w:szCs w:val="16"/>
          <w:color w:val="auto"/>
        </w:rPr>
        <w:t>Executive Compensation</w:t>
      </w:r>
    </w:p>
    <w:p>
      <w:pPr>
        <w:spacing w:after="0" w:line="33"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12.</w:t>
      </w:r>
      <w:r>
        <w:rPr>
          <w:sz w:val="20"/>
          <w:szCs w:val="20"/>
          <w:color w:val="auto"/>
        </w:rPr>
        <w:tab/>
      </w:r>
      <w:r>
        <w:rPr>
          <w:rFonts w:ascii="Arial" w:cs="Arial" w:eastAsia="Arial" w:hAnsi="Arial"/>
          <w:sz w:val="16"/>
          <w:szCs w:val="16"/>
          <w:color w:val="auto"/>
        </w:rPr>
        <w:t>Security Ownership of Certain Beneficial Owners and Management and Related Stockholder</w:t>
      </w:r>
    </w:p>
    <w:p>
      <w:pPr>
        <w:ind w:left="1400"/>
        <w:spacing w:after="0"/>
        <w:rPr>
          <w:sz w:val="20"/>
          <w:szCs w:val="20"/>
          <w:color w:val="auto"/>
        </w:rPr>
      </w:pPr>
      <w:r>
        <w:rPr>
          <w:rFonts w:ascii="Arial" w:cs="Arial" w:eastAsia="Arial" w:hAnsi="Arial"/>
          <w:sz w:val="20"/>
          <w:szCs w:val="20"/>
          <w:color w:val="auto"/>
        </w:rPr>
        <w:t>Matters</w:t>
      </w:r>
    </w:p>
    <w:p>
      <w:pPr>
        <w:spacing w:after="0" w:line="61"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13.</w:t>
      </w:r>
      <w:r>
        <w:rPr>
          <w:sz w:val="20"/>
          <w:szCs w:val="20"/>
          <w:color w:val="auto"/>
        </w:rPr>
        <w:tab/>
      </w:r>
      <w:r>
        <w:rPr>
          <w:rFonts w:ascii="Arial" w:cs="Arial" w:eastAsia="Arial" w:hAnsi="Arial"/>
          <w:sz w:val="16"/>
          <w:szCs w:val="16"/>
          <w:color w:val="auto"/>
        </w:rPr>
        <w:t>Certain Relationships and Related Transactions, and Director Independence</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14.</w:t>
      </w:r>
      <w:r>
        <w:rPr>
          <w:sz w:val="20"/>
          <w:szCs w:val="20"/>
          <w:color w:val="auto"/>
        </w:rPr>
        <w:tab/>
      </w:r>
      <w:r>
        <w:rPr>
          <w:rFonts w:ascii="Arial" w:cs="Arial" w:eastAsia="Arial" w:hAnsi="Arial"/>
          <w:sz w:val="16"/>
          <w:szCs w:val="16"/>
          <w:color w:val="auto"/>
        </w:rPr>
        <w:t>Principal Accountant Fees and Services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72"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15.</w:t>
      </w:r>
      <w:r>
        <w:rPr>
          <w:sz w:val="20"/>
          <w:szCs w:val="20"/>
          <w:color w:val="auto"/>
        </w:rPr>
        <w:tab/>
      </w:r>
      <w:r>
        <w:rPr>
          <w:rFonts w:ascii="Arial" w:cs="Arial" w:eastAsia="Arial" w:hAnsi="Arial"/>
          <w:sz w:val="16"/>
          <w:szCs w:val="16"/>
          <w:color w:val="auto"/>
        </w:rPr>
        <w:t>Exhibits and Financial Statement Schedules</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Item 16.</w:t>
      </w:r>
      <w:r>
        <w:rPr>
          <w:sz w:val="20"/>
          <w:szCs w:val="20"/>
          <w:color w:val="auto"/>
        </w:rPr>
        <w:tab/>
      </w:r>
      <w:r>
        <w:rPr>
          <w:rFonts w:ascii="Arial" w:cs="Arial" w:eastAsia="Arial" w:hAnsi="Arial"/>
          <w:sz w:val="18"/>
          <w:szCs w:val="18"/>
          <w:color w:val="auto"/>
        </w:rPr>
        <w:t>Form 10-K Summary</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19685</wp:posOffset>
            </wp:positionV>
            <wp:extent cx="440690"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0690" cy="12700"/>
                    </a:xfrm>
                    <a:prstGeom prst="rect">
                      <a:avLst/>
                    </a:prstGeom>
                    <a:noFill/>
                  </pic:spPr>
                </pic:pic>
              </a:graphicData>
            </a:graphic>
          </wp:anchor>
        </w:drawing>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46</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48</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94</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94</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96</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96</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96</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96</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96</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96</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96</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97</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97</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98</w:t>
      </w:r>
    </w:p>
    <w:p>
      <w:pPr>
        <w:sectPr>
          <w:pgSz w:w="11880" w:h="15480" w:orient="portrait"/>
          <w:cols w:equalWidth="0" w:num="2">
            <w:col w:w="9120" w:space="420"/>
            <w:col w:w="460"/>
          </w:cols>
          <w:pgMar w:left="940" w:top="568" w:right="9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Disclosure Regarding Forward-Looking Statements</w:t>
      </w:r>
    </w:p>
    <w:p>
      <w:pPr>
        <w:spacing w:after="0" w:line="171" w:lineRule="exact"/>
        <w:rPr>
          <w:sz w:val="20"/>
          <w:szCs w:val="20"/>
          <w:color w:val="auto"/>
        </w:rPr>
      </w:pPr>
    </w:p>
    <w:p>
      <w:pPr>
        <w:ind w:firstLine="709"/>
        <w:spacing w:after="0" w:line="262" w:lineRule="auto"/>
        <w:rPr>
          <w:sz w:val="20"/>
          <w:szCs w:val="20"/>
          <w:color w:val="auto"/>
        </w:rPr>
      </w:pPr>
      <w:r>
        <w:rPr>
          <w:rFonts w:ascii="Arial" w:cs="Arial" w:eastAsia="Arial" w:hAnsi="Arial"/>
          <w:sz w:val="19"/>
          <w:szCs w:val="19"/>
          <w:color w:val="auto"/>
        </w:rPr>
        <w:t>In addition to historical information, this Annual Report on Form 10-K contains forward-looking statements, which are generally identifiable by use of the words “believes,” “expects,” “intends,” “anticipates,” “plans to,” “seeks,” “should,” “estimates,” “projects,” “may,” “likely,” “potential” or similar expressions. Such statements may include, but are not limited to, statements about our future financial and operating results, plans, strategy, objectives and goals, cost management initiatives, contingent liabilities, liquidity, business and market conditions, customer demand, acquisitions, growth opportunities, expectations and other statements that are not historical facts. Such statements are based upon the beliefs and expectations of our management as of the date of this report only and are subject to certain risks and uncertainties that could cause actual results to differ materially, including, without limitation, risks and uncertainties and those items identified in this report under Item 1A, “Risk Factors,” and Item 7, “Management’s Discussion and Analysis on Financial Condition and Results of Operations.” Therefore,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 Readers should also carefully review the risk factors described in the other documents which we file from time to time with the Securities and Exchange Commission (“SEC”), including Clean Harbors’ quarterly reports on Form 10-Q to be filed during 2025.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w:t>
      </w:r>
    </w:p>
    <w:p>
      <w:pPr>
        <w:spacing w:after="0" w:line="164"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71" w:lineRule="exact"/>
        <w:rPr>
          <w:sz w:val="20"/>
          <w:szCs w:val="20"/>
          <w:color w:val="auto"/>
        </w:rPr>
      </w:pPr>
    </w:p>
    <w:p>
      <w:pPr>
        <w:ind w:right="120" w:firstLine="709"/>
        <w:spacing w:after="0" w:line="266" w:lineRule="auto"/>
        <w:rPr>
          <w:sz w:val="20"/>
          <w:szCs w:val="20"/>
          <w:color w:val="auto"/>
        </w:rPr>
      </w:pPr>
      <w:r>
        <w:rPr>
          <w:rFonts w:ascii="Arial" w:cs="Arial" w:eastAsia="Arial" w:hAnsi="Arial"/>
          <w:sz w:val="19"/>
          <w:szCs w:val="19"/>
          <w:color w:val="auto"/>
        </w:rPr>
        <w:t>Clean Harbors, Inc. and its subsidiaries (collectively, “we,” “Clean Harbors” or the “Company”) is a leading provider of sustainable environmental and industrial services throughout North America. Everywhere industry meets the environment, we strive to provide eco-friendly services and products that protect and restore North America's natural environment. We are also the largest provider of parts cleaning and related environmental services to general manufacturing, automotive and commercial customers in North America and the largest re-refiner and recycler of used oil in North America. One of our primary goals as a company is supporting our customers in providing environmentally responsible solutions to further their sustainability goals in today's rapidly changing world.</w:t>
      </w:r>
    </w:p>
    <w:p>
      <w:pPr>
        <w:spacing w:after="0" w:line="117" w:lineRule="exact"/>
        <w:rPr>
          <w:sz w:val="20"/>
          <w:szCs w:val="20"/>
          <w:color w:val="auto"/>
        </w:rPr>
      </w:pPr>
    </w:p>
    <w:p>
      <w:pPr>
        <w:ind w:right="100" w:firstLine="709"/>
        <w:spacing w:after="0" w:line="276" w:lineRule="auto"/>
        <w:rPr>
          <w:sz w:val="20"/>
          <w:szCs w:val="20"/>
          <w:color w:val="auto"/>
        </w:rPr>
      </w:pPr>
      <w:r>
        <w:rPr>
          <w:rFonts w:ascii="Arial" w:cs="Arial" w:eastAsia="Arial" w:hAnsi="Arial"/>
          <w:sz w:val="20"/>
          <w:szCs w:val="20"/>
          <w:color w:val="auto"/>
        </w:rPr>
        <w:t>We have two operating segments through which the Company conducts its operations: (i) the Environmental Services segment and (ii) the Safety-Kleen Sustainability Solutions segment.</w:t>
      </w:r>
    </w:p>
    <w:p>
      <w:pPr>
        <w:spacing w:after="0" w:line="98" w:lineRule="exact"/>
        <w:rPr>
          <w:sz w:val="20"/>
          <w:szCs w:val="20"/>
          <w:color w:val="auto"/>
        </w:rPr>
      </w:pPr>
    </w:p>
    <w:p>
      <w:pPr>
        <w:ind w:left="720" w:right="100" w:hanging="358"/>
        <w:spacing w:after="0" w:line="28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Services </w:t>
      </w:r>
      <w:r>
        <w:rPr>
          <w:rFonts w:ascii="Arial" w:cs="Arial" w:eastAsia="Arial" w:hAnsi="Arial"/>
          <w:sz w:val="18"/>
          <w:szCs w:val="18"/>
          <w:color w:val="auto"/>
        </w:rPr>
        <w:t>- Our Environmental Services businesses offer an array of services to customers. We safely</w:t>
      </w:r>
      <w:r>
        <w:rPr>
          <w:rFonts w:ascii="Arial" w:cs="Arial" w:eastAsia="Arial" w:hAnsi="Arial"/>
          <w:sz w:val="18"/>
          <w:szCs w:val="18"/>
          <w:b w:val="1"/>
          <w:bCs w:val="1"/>
          <w:color w:val="auto"/>
        </w:rPr>
        <w:t xml:space="preserve"> </w:t>
      </w:r>
      <w:r>
        <w:rPr>
          <w:rFonts w:ascii="Arial" w:cs="Arial" w:eastAsia="Arial" w:hAnsi="Arial"/>
          <w:sz w:val="18"/>
          <w:szCs w:val="18"/>
          <w:color w:val="auto"/>
        </w:rPr>
        <w:t>collect, transport, treat and dispose of hazardous and non-hazardous waste through our network of over 100 waste disposal facilities including incinerators, landfills, treatment, storage and disposal facilities (“TSDFs”), wastewater treatment facilities and solvent recycling centers. Our emergency response services leverage specialized equipment, expertise and responsiveness to support our customers and our teams can address the per- and poly-fluorinated alkyl substances (“PFAS”) needs of our customers from testing to disposal. We leverage our assets to perform a wide range of industrial maintenance and specialty industrial services, both planned and unplanned. We collect containerized waste and provide parts washer and vacuum services to small quantity generators of hazardous waste. All of these services are designed to protect the environment and address environmental related challenges through the use of innovation and the latest technologies. We provide customers with sustainable solutions that seek to recycle waste materials whenever possible.</w:t>
      </w:r>
    </w:p>
    <w:p>
      <w:pPr>
        <w:spacing w:after="0" w:line="101" w:lineRule="exact"/>
        <w:rPr>
          <w:rFonts w:ascii="Arial" w:cs="Arial" w:eastAsia="Arial" w:hAnsi="Arial"/>
          <w:sz w:val="18"/>
          <w:szCs w:val="18"/>
          <w:color w:val="auto"/>
        </w:rPr>
      </w:pPr>
    </w:p>
    <w:p>
      <w:pPr>
        <w:ind w:left="720" w:right="80" w:hanging="358"/>
        <w:spacing w:after="0" w:line="295"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Safety-Kleen Sustainability Solutions </w:t>
      </w:r>
      <w:r>
        <w:rPr>
          <w:rFonts w:ascii="Arial" w:cs="Arial" w:eastAsia="Arial" w:hAnsi="Arial"/>
          <w:sz w:val="18"/>
          <w:szCs w:val="18"/>
          <w:color w:val="auto"/>
        </w:rPr>
        <w:t>- Our Safety-Kleen Sustainability Solutions (“SKSS”) business offerings span</w:t>
      </w:r>
      <w:r>
        <w:rPr>
          <w:rFonts w:ascii="Arial" w:cs="Arial" w:eastAsia="Arial" w:hAnsi="Arial"/>
          <w:sz w:val="18"/>
          <w:szCs w:val="18"/>
          <w:b w:val="1"/>
          <w:bCs w:val="1"/>
          <w:color w:val="auto"/>
        </w:rPr>
        <w:t xml:space="preserve"> </w:t>
      </w:r>
      <w:r>
        <w:rPr>
          <w:rFonts w:ascii="Arial" w:cs="Arial" w:eastAsia="Arial" w:hAnsi="Arial"/>
          <w:sz w:val="18"/>
          <w:szCs w:val="18"/>
          <w:color w:val="auto"/>
        </w:rPr>
        <w:t>the life-cycle of sustainable lubricant products. Our teams collect used oil which serves as feedstock for our oil re-refineries. At these facilities, we manufacture, formulate and package high quality lubricants which are returned to the marketplace, providing our customers with sustainable solutions to meet their oil and lubricant demands.</w:t>
      </w:r>
    </w:p>
    <w:p>
      <w:pPr>
        <w:spacing w:after="0" w:line="89" w:lineRule="exact"/>
        <w:rPr>
          <w:sz w:val="20"/>
          <w:szCs w:val="20"/>
          <w:color w:val="auto"/>
        </w:rPr>
      </w:pPr>
    </w:p>
    <w:p>
      <w:pPr>
        <w:ind w:firstLine="709"/>
        <w:spacing w:after="0" w:line="280" w:lineRule="auto"/>
        <w:rPr>
          <w:sz w:val="20"/>
          <w:szCs w:val="20"/>
          <w:color w:val="auto"/>
        </w:rPr>
      </w:pPr>
      <w:r>
        <w:rPr>
          <w:rFonts w:ascii="Arial" w:cs="Arial" w:eastAsia="Arial" w:hAnsi="Arial"/>
          <w:sz w:val="18"/>
          <w:szCs w:val="18"/>
          <w:color w:val="auto"/>
        </w:rPr>
        <w:t>Clean Harbors, Inc. was incorporated in Massachusetts in 1980 and our principal executive offices are located in Norwell, Massachusetts. We maintain a website at the following Internet address: http://www.cleanharbors.com. Through a link on this website, we provide free access to our annual reports on Form 10-K, quarterly reports on Form 10-Q, current reports on Form 8-K and amendments to those reports filed or furnished pursuant to Section 13(a) or 15(d) of the Securities Exchange Act of 1934, as amended (the “Exchange Act”) as soon as reasonably practicable after electronic filing with the SEC. Our guidelines on corporate governance, the charters for our board committees, and our code of ethics for members of our Board of Directors (the “Board”), our Co-Chief Executive Officers and our other senior executive officers are available through our website at https://ir.cleanharbors.com/corporate-governance/highlights. Should it be necessary, any waivers for such policies will also be posted on our website. In August 2024, we published our third Sustainability Report, which is available on our website’s Sustainability page. Our website, and the information contained in or accessible through our website, are not</w:t>
      </w:r>
    </w:p>
    <w:p>
      <w:pPr>
        <w:sectPr>
          <w:pgSz w:w="11880" w:h="15480" w:orient="portrait"/>
          <w:cols w:equalWidth="0" w:num="1">
            <w:col w:w="10100"/>
          </w:cols>
          <w:pgMar w:left="880" w:top="568" w:right="900" w:bottom="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10100"/>
          </w:cols>
          <w:pgMar w:left="880" w:top="568" w:right="900" w:bottom="0" w:gutter="0" w:footer="0" w:header="0"/>
          <w:type w:val="continuous"/>
        </w:sectPr>
      </w:pPr>
    </w:p>
    <w:bookmarkStart w:id="9" w:name="page10"/>
    <w:bookmarkEnd w:id="9"/>
    <w:p>
      <w:pPr>
        <w:ind w:right="520"/>
        <w:spacing w:after="0" w:line="276" w:lineRule="auto"/>
        <w:rPr>
          <w:sz w:val="20"/>
          <w:szCs w:val="20"/>
          <w:color w:val="auto"/>
        </w:rPr>
      </w:pPr>
      <w:r>
        <w:rPr>
          <w:rFonts w:ascii="Arial" w:cs="Arial" w:eastAsia="Arial" w:hAnsi="Arial"/>
          <w:sz w:val="20"/>
          <w:szCs w:val="20"/>
          <w:color w:val="auto"/>
        </w:rPr>
        <w:t>incorporated by reference in, or considered to be a part of, this annual report on Form 10-K or any other document unless expressly incorporated by reference.</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Commitment to Safety</w:t>
      </w:r>
    </w:p>
    <w:p>
      <w:pPr>
        <w:spacing w:after="0" w:line="171" w:lineRule="exact"/>
        <w:rPr>
          <w:sz w:val="20"/>
          <w:szCs w:val="20"/>
          <w:color w:val="auto"/>
        </w:rPr>
      </w:pPr>
    </w:p>
    <w:p>
      <w:pPr>
        <w:ind w:firstLine="709"/>
        <w:spacing w:after="0" w:line="281" w:lineRule="auto"/>
        <w:rPr>
          <w:sz w:val="20"/>
          <w:szCs w:val="20"/>
          <w:color w:val="auto"/>
        </w:rPr>
      </w:pPr>
      <w:r>
        <w:rPr>
          <w:rFonts w:ascii="Arial" w:cs="Arial" w:eastAsia="Arial" w:hAnsi="Arial"/>
          <w:sz w:val="18"/>
          <w:szCs w:val="18"/>
          <w:color w:val="auto"/>
        </w:rPr>
        <w:t xml:space="preserve">Safety is a core value throughout Clean Harbors and everyone at all levels of our Company share this belief. Our </w:t>
      </w:r>
      <w:r>
        <w:rPr>
          <w:rFonts w:ascii="Arial" w:cs="Arial" w:eastAsia="Arial" w:hAnsi="Arial"/>
          <w:sz w:val="18"/>
          <w:szCs w:val="18"/>
          <w:b w:val="1"/>
          <w:bCs w:val="1"/>
          <w:i w:val="1"/>
          <w:iCs w:val="1"/>
          <w:color w:val="auto"/>
        </w:rPr>
        <w:t xml:space="preserve">Safety Starts with Me: Live It 3-6-5 </w:t>
      </w:r>
      <w:r>
        <w:rPr>
          <w:rFonts w:ascii="Arial" w:cs="Arial" w:eastAsia="Arial" w:hAnsi="Arial"/>
          <w:sz w:val="18"/>
          <w:szCs w:val="18"/>
          <w:color w:val="auto"/>
        </w:rPr>
        <w:t>mindset, is the foundation to our overall safety approach. This mindset is organized around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Safety Philosophies, six Golden Rules of Safety and each employee’s five Personal Reasons why they choose to be safe at work and at home. This overall approach, along with other targeted safety and education programs, have enabled us to continue to be an industry leader in safety. For the year ended December 31, 2024, our safety metrics of Total Recordable Incident Rate (“TRIR”) and Days Away, Restricted Activity and Transfer Rate (“DART”), were 0.65 and 0.27, respectively. TRIR is a measure of total recordable injuries relative to hours worked while DART is a measure of recordable injury severity for the hours worked. For the third year in a row, our TRIR has remained well under 1.0, an industry leading statistic, and 2024 marks the lowest DART in the Company’s history, indicating a continued decline in the severity of injuries.</w:t>
      </w:r>
    </w:p>
    <w:p>
      <w:pPr>
        <w:spacing w:after="0" w:line="104" w:lineRule="exact"/>
        <w:rPr>
          <w:sz w:val="20"/>
          <w:szCs w:val="20"/>
          <w:color w:val="auto"/>
        </w:rPr>
      </w:pPr>
    </w:p>
    <w:p>
      <w:pPr>
        <w:ind w:right="120" w:firstLine="709"/>
        <w:spacing w:after="0" w:line="256" w:lineRule="auto"/>
        <w:rPr>
          <w:sz w:val="20"/>
          <w:szCs w:val="20"/>
          <w:color w:val="auto"/>
        </w:rPr>
      </w:pPr>
      <w:r>
        <w:rPr>
          <w:rFonts w:ascii="Arial" w:cs="Arial" w:eastAsia="Arial" w:hAnsi="Arial"/>
          <w:sz w:val="20"/>
          <w:szCs w:val="20"/>
          <w:color w:val="auto"/>
        </w:rPr>
        <w:t>As always, we remain focused on the safety of our teams, our customers and the communities in which we work, live and drive. We will remain relentless in our pursuit to improve how we work through effective partnering and collaboration, as well as innovation and technological solutions which deliver on our safety promise to ourselves, our customers and our neighbors. It starts with us, and we live it 3-6-5.</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w:t>
      </w:r>
    </w:p>
    <w:p>
      <w:pPr>
        <w:spacing w:after="0" w:line="171" w:lineRule="exact"/>
        <w:rPr>
          <w:sz w:val="20"/>
          <w:szCs w:val="20"/>
          <w:color w:val="auto"/>
        </w:rPr>
      </w:pPr>
    </w:p>
    <w:p>
      <w:pPr>
        <w:ind w:right="60" w:firstLine="709"/>
        <w:spacing w:after="0" w:line="286" w:lineRule="auto"/>
        <w:rPr>
          <w:sz w:val="20"/>
          <w:szCs w:val="20"/>
          <w:color w:val="auto"/>
        </w:rPr>
      </w:pPr>
      <w:r>
        <w:rPr>
          <w:rFonts w:ascii="Arial" w:cs="Arial" w:eastAsia="Arial" w:hAnsi="Arial"/>
          <w:sz w:val="18"/>
          <w:szCs w:val="18"/>
          <w:color w:val="auto"/>
        </w:rPr>
        <w:t>We regard compliance with applicable regulations as a critical component of our overall operations and we maintain a compliance organization that is independent of the operations of the business to monitor and provide oversight throughout our organization. We strive to maintain strict professional standards in our compliance activities. Our compliance staff is responsible for the facilities’ permitting and regulatory compliance, compliance training, transportation compliance and related record keeping. To ensure the effectiveness of our regulatory compliance program, our facilities operations are monitored by our compliance staff and a compliance audit team who routinely conduct audits of our programs.</w:t>
      </w:r>
    </w:p>
    <w:p>
      <w:pPr>
        <w:spacing w:after="0" w:line="96" w:lineRule="exact"/>
        <w:rPr>
          <w:sz w:val="20"/>
          <w:szCs w:val="20"/>
          <w:color w:val="auto"/>
        </w:rPr>
      </w:pPr>
    </w:p>
    <w:p>
      <w:pPr>
        <w:jc w:val="both"/>
        <w:ind w:right="120" w:firstLine="709"/>
        <w:spacing w:after="0" w:line="261" w:lineRule="auto"/>
        <w:rPr>
          <w:sz w:val="20"/>
          <w:szCs w:val="20"/>
          <w:color w:val="auto"/>
        </w:rPr>
      </w:pPr>
      <w:r>
        <w:rPr>
          <w:rFonts w:ascii="Arial" w:cs="Arial" w:eastAsia="Arial" w:hAnsi="Arial"/>
          <w:sz w:val="20"/>
          <w:szCs w:val="20"/>
          <w:color w:val="auto"/>
        </w:rPr>
        <w:t>Our facilities are also frequently inspected and audited by regulatory agencies, as well as by customers. Although our facilities have been cited on occasion for regulatory violations, we believe that each of our facilities is currently in substantial compliance with applicable permit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 Strengths</w:t>
      </w:r>
    </w:p>
    <w:p>
      <w:pPr>
        <w:spacing w:after="0" w:line="171" w:lineRule="exact"/>
        <w:rPr>
          <w:sz w:val="20"/>
          <w:szCs w:val="20"/>
          <w:color w:val="auto"/>
        </w:rPr>
      </w:pPr>
    </w:p>
    <w:p>
      <w:pPr>
        <w:ind w:right="20" w:firstLine="709"/>
        <w:spacing w:after="0" w:line="254" w:lineRule="auto"/>
        <w:rPr>
          <w:sz w:val="20"/>
          <w:szCs w:val="20"/>
          <w:color w:val="auto"/>
        </w:rPr>
      </w:pPr>
      <w:r>
        <w:rPr>
          <w:rFonts w:ascii="Arial" w:cs="Arial" w:eastAsia="Arial" w:hAnsi="Arial"/>
          <w:sz w:val="20"/>
          <w:szCs w:val="20"/>
          <w:color w:val="auto"/>
        </w:rPr>
        <w:t>As noted above, Safety is our underlying core value and we believe our long standing commitment to safety is an important competitive strength and differentiator for Clean Harbors. We have attained leading positions across our business lines despite facing robust competition from local, regional and national firms. We believe the following are our core competitive strengths developed over more than 40 years of operations which have and will continue to facilitate our prominent position in the marketplace:</w:t>
      </w:r>
    </w:p>
    <w:p>
      <w:pPr>
        <w:spacing w:after="0" w:line="119" w:lineRule="exact"/>
        <w:rPr>
          <w:sz w:val="20"/>
          <w:szCs w:val="20"/>
          <w:color w:val="auto"/>
        </w:rPr>
      </w:pPr>
    </w:p>
    <w:p>
      <w:pPr>
        <w:ind w:left="720" w:hanging="358"/>
        <w:spacing w:after="0" w:line="265" w:lineRule="auto"/>
        <w:tabs>
          <w:tab w:leader="none" w:pos="72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Leading Provider of Environmental and Industrial Services - </w:t>
      </w:r>
      <w:r>
        <w:rPr>
          <w:rFonts w:ascii="Arial" w:cs="Arial" w:eastAsia="Arial" w:hAnsi="Arial"/>
          <w:sz w:val="19"/>
          <w:szCs w:val="19"/>
          <w:color w:val="auto"/>
        </w:rPr>
        <w:t>We are a leading provider of environmental and</w:t>
      </w:r>
      <w:r>
        <w:rPr>
          <w:rFonts w:ascii="Arial" w:cs="Arial" w:eastAsia="Arial" w:hAnsi="Arial"/>
          <w:sz w:val="19"/>
          <w:szCs w:val="19"/>
          <w:b w:val="1"/>
          <w:bCs w:val="1"/>
          <w:color w:val="auto"/>
        </w:rPr>
        <w:t xml:space="preserve"> </w:t>
      </w:r>
      <w:r>
        <w:rPr>
          <w:rFonts w:ascii="Arial" w:cs="Arial" w:eastAsia="Arial" w:hAnsi="Arial"/>
          <w:sz w:val="19"/>
          <w:szCs w:val="19"/>
          <w:color w:val="auto"/>
        </w:rPr>
        <w:t>industrial services which deliver sustainable solutions that help our customers protect the environment. We operate ten commercial hazardous waste incinerators, including our newest incinerator in Kimball, Nebraska which commenced operations in late 2024. We are the largest operator of these high demand facilities in North America. We are also one of the few emergency response and industrial services companies with footprints across both the U.S. and Canada. Our highly trained workforce safely responds to customer needs across a variety of service lines, including emergency response services and plant turnarounds. We provide multi-faceted, high-quality services to a broad mix of customers and our vast capabilities, valuable and unique assets, skilled workforce, safety profile and breadth of services as well as our overall size, scale and geographic footprint help us attract customers and provide them with environmentally responsible solutions.</w:t>
      </w:r>
    </w:p>
    <w:p>
      <w:pPr>
        <w:spacing w:after="0" w:line="109" w:lineRule="exact"/>
        <w:rPr>
          <w:rFonts w:ascii="Arial" w:cs="Arial" w:eastAsia="Arial" w:hAnsi="Arial"/>
          <w:sz w:val="19"/>
          <w:szCs w:val="19"/>
          <w:color w:val="auto"/>
        </w:rPr>
      </w:pPr>
    </w:p>
    <w:p>
      <w:pPr>
        <w:ind w:left="720" w:hanging="358"/>
        <w:spacing w:after="0" w:line="281"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Integrated Network of Assets - </w:t>
      </w:r>
      <w:r>
        <w:rPr>
          <w:rFonts w:ascii="Arial" w:cs="Arial" w:eastAsia="Arial" w:hAnsi="Arial"/>
          <w:sz w:val="18"/>
          <w:szCs w:val="18"/>
          <w:color w:val="auto"/>
        </w:rPr>
        <w:t>We believe, in the aggregate, we operate the largest number of commercial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waste incinerators, landfills, treatment facilities and TSDFs in North America. We have a footprint of service locations spanning the U.S. and Canada and we manage a sizeable fleet of more than 20,000 vehicles across this coast to coast network. Our extensive service network enables us to effectively handle hazardous waste streams from origin to safe disposal in one of our various waste outlets, internalizing the transportation to reduce costs. Our disposal facilities are very difficult to duplicate and maintain because, in addition to the substantial required capital investments, there are significant permitting, regulatory approvals and ongoing compliance regulations necessary in order for new commercial waste disposal sites to come online and remain operational. In addition, expertise gained through years of experience is paramount to safely operating such facilities. These longstanding capabilities exhibited by us create a competitive advantage and provide substantial value for our network.</w:t>
      </w:r>
    </w:p>
    <w:p>
      <w:pPr>
        <w:sectPr>
          <w:pgSz w:w="11880" w:h="15480" w:orient="portrait"/>
          <w:cols w:equalWidth="0" w:num="1">
            <w:col w:w="10080"/>
          </w:cols>
          <w:pgMar w:left="880" w:top="575" w:right="920" w:bottom="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080"/>
          </w:cols>
          <w:pgMar w:left="880" w:top="575" w:right="920" w:bottom="0" w:gutter="0" w:footer="0" w:header="0"/>
          <w:type w:val="continuous"/>
        </w:sectPr>
      </w:pPr>
    </w:p>
    <w:bookmarkStart w:id="10" w:name="page11"/>
    <w:bookmarkEnd w:id="10"/>
    <w:p>
      <w:pPr>
        <w:ind w:left="358" w:right="20" w:hanging="358"/>
        <w:spacing w:after="0" w:line="322" w:lineRule="auto"/>
        <w:tabs>
          <w:tab w:leader="none" w:pos="358"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Comprehensive Service Capabilities Complementing our Customers’ Sustainability Goals - </w:t>
      </w:r>
      <w:r>
        <w:rPr>
          <w:rFonts w:ascii="Arial" w:cs="Arial" w:eastAsia="Arial" w:hAnsi="Arial"/>
          <w:sz w:val="16"/>
          <w:szCs w:val="16"/>
          <w:color w:val="auto"/>
        </w:rPr>
        <w:t>Our comprehensive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offerings and product catalog allow us to act as a full service provider for our customers’ needs. Customers can rely on Clean Harbors not only as a sustainability partner, but also to minimize the number of outside vendors, making us their “one-stop-shop” service provider. Our breadth of service offerings creates incremental revenue growth with no single competitor offering the portfolio of services that we can provide to our customers. Our workforce is trained to fulfill a multitude of customer needs and our complementary lines of business help keep us steady in times of market uncertainty. In addition, our proprietary and integrated technology platforms utilized to deliver our services provide a competitive advantage for us and continuous investments provide incremental value to our customers' experience.</w:t>
      </w:r>
    </w:p>
    <w:p>
      <w:pPr>
        <w:spacing w:after="0" w:line="74" w:lineRule="exact"/>
        <w:rPr>
          <w:rFonts w:ascii="Arial" w:cs="Arial" w:eastAsia="Arial" w:hAnsi="Arial"/>
          <w:sz w:val="16"/>
          <w:szCs w:val="16"/>
          <w:color w:val="auto"/>
        </w:rPr>
      </w:pPr>
    </w:p>
    <w:p>
      <w:pPr>
        <w:ind w:left="358" w:right="60" w:hanging="358"/>
        <w:spacing w:after="0" w:line="281" w:lineRule="auto"/>
        <w:tabs>
          <w:tab w:leader="none" w:pos="358"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Used Motor Oil Collection and Re-refining Capabilities - </w:t>
      </w:r>
      <w:r>
        <w:rPr>
          <w:rFonts w:ascii="Arial" w:cs="Arial" w:eastAsia="Arial" w:hAnsi="Arial"/>
          <w:sz w:val="18"/>
          <w:szCs w:val="18"/>
          <w:color w:val="auto"/>
        </w:rPr>
        <w:t>As the largest re-refiner and recycler of used oil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in 2024 we collected 253 million gallons of used oil and processed these used oil gallons, along with additives and some additionally purchased used oil, into approximately 249 million gallons of new re-refined base oil, lubricants and byproducts which were returned back into the marketplace. Our capability to serve as an outlet for used lubricants in the marketplace, which we then re-refine and convert into high-quality, environmentally responsible recycled products, distinguishes us from many competitors. This process also provides an alternative to other disposal options of the used lubricants. In 2024, by collecting and then re-refining this used oil, we helped avoid the creation of approximately 2.4 million metric tons of greenhouse gases (“GHG”). The magnitude of estimated GHG emission avoidance is equivalent to the carbon sequestered by growing 39 million trees for 10 years or removing 550,000 gasoline-powered passenger cars from the road for one year.</w:t>
      </w:r>
    </w:p>
    <w:p>
      <w:pPr>
        <w:spacing w:after="0" w:line="98" w:lineRule="exact"/>
        <w:rPr>
          <w:rFonts w:ascii="Arial" w:cs="Arial" w:eastAsia="Arial" w:hAnsi="Arial"/>
          <w:sz w:val="18"/>
          <w:szCs w:val="18"/>
          <w:color w:val="auto"/>
        </w:rPr>
      </w:pPr>
    </w:p>
    <w:p>
      <w:pPr>
        <w:ind w:left="358" w:hanging="358"/>
        <w:spacing w:after="0" w:line="281" w:lineRule="auto"/>
        <w:tabs>
          <w:tab w:leader="none" w:pos="358"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Effective Cost Management - </w:t>
      </w:r>
      <w:r>
        <w:rPr>
          <w:rFonts w:ascii="Arial" w:cs="Arial" w:eastAsia="Arial" w:hAnsi="Arial"/>
          <w:sz w:val="18"/>
          <w:szCs w:val="18"/>
          <w:color w:val="auto"/>
        </w:rPr>
        <w:t>We have adopted effective cost management programs with the goal of maintaining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our overall margins in spite of inflation and other drivers of higher costs. Our significant scale allows us to lower costs through standardized compliance procedures and significant purchasing power. By harnessing our technological investments, optimizing logistics and transportation and using our internal resources, we aim to channel waste streams to the most efficient facilities. Throughout the Company, our support functions are highly leverageable, contributing to improved operating margins. Our SKSS segment results are significantly impacted by market pricing of oil products. To reduce this commodity exposure, we manage the pricing on our used oil collection services as a strategy to manage the re-refinery spreads inherent in our SKSS business. In the fourth quarter of 2024, we also took actions to idle production at our Newark, California re-refinery in order to reduce our fixed cost base in light of current market conditions for base oil.</w:t>
      </w:r>
    </w:p>
    <w:p>
      <w:pPr>
        <w:spacing w:after="0" w:line="98" w:lineRule="exact"/>
        <w:rPr>
          <w:rFonts w:ascii="Arial" w:cs="Arial" w:eastAsia="Arial" w:hAnsi="Arial"/>
          <w:sz w:val="18"/>
          <w:szCs w:val="18"/>
          <w:color w:val="auto"/>
        </w:rPr>
      </w:pPr>
    </w:p>
    <w:p>
      <w:pPr>
        <w:ind w:left="358" w:hanging="358"/>
        <w:spacing w:after="0" w:line="267" w:lineRule="auto"/>
        <w:tabs>
          <w:tab w:leader="none" w:pos="358"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Large and Diversified Customer Base - </w:t>
      </w:r>
      <w:r>
        <w:rPr>
          <w:rFonts w:ascii="Arial" w:cs="Arial" w:eastAsia="Arial" w:hAnsi="Arial"/>
          <w:sz w:val="19"/>
          <w:szCs w:val="19"/>
          <w:color w:val="auto"/>
        </w:rPr>
        <w:t>Our customer portfolio ranges from small companies to Fortune 500</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and includes public, private and government entities that span multiple industries and business types. This diversification opens opportunities for cross-selling our large portfolio of services and limits our credit exposure to any single customer and potential cyclicality in any one industry. As a percentage of our 2024 revenues, the top ten industries we serviced totaled approximately 77% of revenues and included chemical (15%), general manufacturing (14%), refineries (13%), automotive (8%), utilities (6%), base and blended oils (5%), oil and gas (5%), transportation (4%), government (4%) and retail (3%).</w:t>
      </w:r>
    </w:p>
    <w:p>
      <w:pPr>
        <w:spacing w:after="0" w:line="110" w:lineRule="exact"/>
        <w:rPr>
          <w:rFonts w:ascii="Arial" w:cs="Arial" w:eastAsia="Arial" w:hAnsi="Arial"/>
          <w:sz w:val="19"/>
          <w:szCs w:val="19"/>
          <w:color w:val="auto"/>
        </w:rPr>
      </w:pPr>
    </w:p>
    <w:p>
      <w:pPr>
        <w:ind w:left="358" w:right="40" w:hanging="358"/>
        <w:spacing w:after="0" w:line="279" w:lineRule="auto"/>
        <w:tabs>
          <w:tab w:leader="none" w:pos="358"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Stable and Recurring Revenue Base </w:t>
      </w:r>
      <w:r>
        <w:rPr>
          <w:rFonts w:ascii="Arial" w:cs="Arial" w:eastAsia="Arial" w:hAnsi="Arial"/>
          <w:sz w:val="18"/>
          <w:szCs w:val="18"/>
          <w:color w:val="auto"/>
        </w:rPr>
        <w:t>- We have long-standing relationships with our large customers, some spanning</w:t>
      </w:r>
      <w:r>
        <w:rPr>
          <w:rFonts w:ascii="Arial" w:cs="Arial" w:eastAsia="Arial" w:hAnsi="Arial"/>
          <w:sz w:val="18"/>
          <w:szCs w:val="18"/>
          <w:b w:val="1"/>
          <w:bCs w:val="1"/>
          <w:color w:val="auto"/>
        </w:rPr>
        <w:t xml:space="preserve"> </w:t>
      </w:r>
      <w:r>
        <w:rPr>
          <w:rFonts w:ascii="Arial" w:cs="Arial" w:eastAsia="Arial" w:hAnsi="Arial"/>
          <w:sz w:val="18"/>
          <w:szCs w:val="18"/>
          <w:color w:val="auto"/>
        </w:rPr>
        <w:t>decades. Our operations are often embedded in customer facilities, integrating Clean Harbors into our customers’ day-to-day operations. A significant portion of our revenues are derived from previously served customers with recurring needs for our services. Due to customers’ desire to audit disposal facilities before approving the sites and to limit the number of facilities to which their hazardous waste is shipped in order to reduce potential liability under United States and Canadian environmental laws and regulations, there can be a financial burden that accompanies switching hazardous waste disposal providers. We have been selected as an approved vendor by large and small generators of waste because, in addition to our strong safety performance, we possess comprehensive collection, recycling, treatment, transportation, disposal and hazardous waste tracking capabilities and have the expertise necessary to comply with applicable environmental laws and regulations. Those customers that have selected us as an approved vendor typically continue to use our services on a recurring basis. In our SKSS segment, despite fluctuations in our customer base, we consistently collect the gallons needed to produce our oil products with a three year average of 240.2 million gallons collected.</w:t>
      </w:r>
    </w:p>
    <w:p>
      <w:pPr>
        <w:spacing w:after="0" w:line="102" w:lineRule="exact"/>
        <w:rPr>
          <w:rFonts w:ascii="Arial" w:cs="Arial" w:eastAsia="Arial" w:hAnsi="Arial"/>
          <w:sz w:val="18"/>
          <w:szCs w:val="18"/>
          <w:color w:val="auto"/>
        </w:rPr>
      </w:pPr>
    </w:p>
    <w:p>
      <w:pPr>
        <w:ind w:left="358" w:right="360" w:hanging="358"/>
        <w:spacing w:after="0" w:line="290" w:lineRule="auto"/>
        <w:tabs>
          <w:tab w:leader="none" w:pos="358"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Regulatory Compliance - </w:t>
      </w:r>
      <w:r>
        <w:rPr>
          <w:rFonts w:ascii="Arial" w:cs="Arial" w:eastAsia="Arial" w:hAnsi="Arial"/>
          <w:sz w:val="18"/>
          <w:szCs w:val="18"/>
          <w:color w:val="auto"/>
        </w:rPr>
        <w:t>We continue to make capital investments in our facilities to ensure that they are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current federal, state, provincial and local regulations. We have a compliance group outfitted to monitor our adherence to these compliance standards and an audit function to review for consistent compliance. Companies relying on in-house or captive disposal methods may find the current regulatory requirements to be too capital intensive or complex, and may choose to outsource many of their hazardous waste disposal needs.</w:t>
      </w:r>
    </w:p>
    <w:p>
      <w:pPr>
        <w:spacing w:after="0" w:line="89" w:lineRule="exact"/>
        <w:rPr>
          <w:rFonts w:ascii="Arial" w:cs="Arial" w:eastAsia="Arial" w:hAnsi="Arial"/>
          <w:sz w:val="18"/>
          <w:szCs w:val="18"/>
          <w:color w:val="auto"/>
        </w:rPr>
      </w:pPr>
    </w:p>
    <w:p>
      <w:pPr>
        <w:ind w:left="358" w:right="100" w:hanging="358"/>
        <w:spacing w:after="0" w:line="410" w:lineRule="auto"/>
        <w:tabs>
          <w:tab w:leader="none" w:pos="358"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Proven and Experienced Management Team - </w:t>
      </w:r>
      <w:r>
        <w:rPr>
          <w:rFonts w:ascii="Arial" w:cs="Arial" w:eastAsia="Arial" w:hAnsi="Arial"/>
          <w:sz w:val="16"/>
          <w:szCs w:val="16"/>
          <w:color w:val="auto"/>
        </w:rPr>
        <w:t>Our executive management team provides extensive knowledge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continuity, with years of experience and expertise in the environmental and industrial services industries. Our Co-</w:t>
      </w:r>
    </w:p>
    <w:p>
      <w:pPr>
        <w:sectPr>
          <w:pgSz w:w="11880" w:h="15480" w:orient="portrait"/>
          <w:cols w:equalWidth="0" w:num="1">
            <w:col w:w="9738"/>
          </w:cols>
          <w:pgMar w:left="1242" w:top="571" w:right="900" w:bottom="0" w:gutter="0" w:footer="0" w:header="0"/>
        </w:sectPr>
      </w:pPr>
    </w:p>
    <w:p>
      <w:pPr>
        <w:spacing w:after="0" w:line="216" w:lineRule="exact"/>
        <w:rPr>
          <w:sz w:val="20"/>
          <w:szCs w:val="20"/>
          <w:color w:val="auto"/>
        </w:rPr>
      </w:pPr>
    </w:p>
    <w:p>
      <w:pPr>
        <w:jc w:val="center"/>
        <w:ind w:right="342"/>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9738"/>
          </w:cols>
          <w:pgMar w:left="1242" w:top="571" w:right="900" w:bottom="0" w:gutter="0" w:footer="0" w:header="0"/>
          <w:type w:val="continuous"/>
        </w:sectPr>
      </w:pPr>
    </w:p>
    <w:bookmarkStart w:id="11" w:name="page12"/>
    <w:bookmarkEnd w:id="11"/>
    <w:p>
      <w:pPr>
        <w:ind w:left="720"/>
        <w:spacing w:after="0" w:line="252" w:lineRule="auto"/>
        <w:rPr>
          <w:sz w:val="20"/>
          <w:szCs w:val="20"/>
          <w:color w:val="auto"/>
        </w:rPr>
      </w:pPr>
      <w:r>
        <w:rPr>
          <w:rFonts w:ascii="Arial" w:cs="Arial" w:eastAsia="Arial" w:hAnsi="Arial"/>
          <w:sz w:val="20"/>
          <w:szCs w:val="20"/>
          <w:color w:val="auto"/>
        </w:rPr>
        <w:t>Chief Executive Officers, Michael L. Battles and Eric W. Gerstenberg collectively have over 40 years of industry experience. Mr. Battles and Mr. Gerstenberg have held these positions since March 31, 2023, having previously served as Executive Vice President and Chief Financial Officer and Chief Operating Officer, respectively, alongside Alan S. McKim, the founder and current Executive Chairman of the Board. Our experienced management team possesses the industry and operational knowledge to be able to quickly pivot in times of change and identify and respond to new market risks, opportunities and demands.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Strategy</w:t>
      </w:r>
    </w:p>
    <w:p>
      <w:pPr>
        <w:spacing w:after="0" w:line="171" w:lineRule="exact"/>
        <w:rPr>
          <w:sz w:val="20"/>
          <w:szCs w:val="20"/>
          <w:color w:val="auto"/>
        </w:rPr>
      </w:pPr>
    </w:p>
    <w:p>
      <w:pPr>
        <w:ind w:right="140" w:firstLine="709"/>
        <w:spacing w:after="0" w:line="266" w:lineRule="auto"/>
        <w:rPr>
          <w:sz w:val="20"/>
          <w:szCs w:val="20"/>
          <w:color w:val="auto"/>
        </w:rPr>
      </w:pPr>
      <w:r>
        <w:rPr>
          <w:rFonts w:ascii="Arial" w:cs="Arial" w:eastAsia="Arial" w:hAnsi="Arial"/>
          <w:sz w:val="19"/>
          <w:szCs w:val="19"/>
          <w:color w:val="auto"/>
        </w:rPr>
        <w:t>Our strategy involves leveraging our core competitive strengths to develop and maintain ongoing relationships with a diversified group of customers while continuing to grow our service lines, ensuring that we can meet our customers’ changing environmental and sustainability needs. Targeted marketing opportunities allow us to expand market awareness of the breadth of our service offerings to current and future customers. We strive to be recognized as the premier supplier of a broad range of value-added environmental services based upon the breadth of those services, quality, responsiveness, customer service, information technologies, safety and cost effectiveness. Everywhere industry meets the environment, we aim to be a primary resource for our customers.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principal elements of our business strategy are:</w:t>
      </w:r>
    </w:p>
    <w:p>
      <w:pPr>
        <w:spacing w:after="0" w:line="160" w:lineRule="exact"/>
        <w:rPr>
          <w:sz w:val="20"/>
          <w:szCs w:val="20"/>
          <w:color w:val="auto"/>
        </w:rPr>
      </w:pPr>
    </w:p>
    <w:p>
      <w:pPr>
        <w:ind w:left="720" w:hanging="358"/>
        <w:spacing w:after="0" w:line="322"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Cross-Sell Our Solutions - </w:t>
      </w:r>
      <w:r>
        <w:rPr>
          <w:rFonts w:ascii="Arial" w:cs="Arial" w:eastAsia="Arial" w:hAnsi="Arial"/>
          <w:sz w:val="16"/>
          <w:szCs w:val="16"/>
          <w:color w:val="auto"/>
        </w:rPr>
        <w:t>The breadth of our service offerings allow us the opportunity to provide various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products to meet our customers' environmental and sustainability objectives. Our significant North American footprint allows us to quickly respond to customer needs, including in emergency response situations. We can assist with remediation needs for small and large scale efforts, either planned or unplanned, by providing remediation contractors and project managers with support services including groundwater disposal, roll-off container management and many other related services. We look for opportunities to be a one-stop-shop service provider, expanding the range of services we traditionally provide to a customer. Our team is committed to identifying opportunities to cross-sell among and across our segments which we expect will continue to drive additional revenue for our Company.</w:t>
      </w:r>
    </w:p>
    <w:p>
      <w:pPr>
        <w:spacing w:after="0" w:line="74" w:lineRule="exact"/>
        <w:rPr>
          <w:rFonts w:ascii="Arial" w:cs="Arial" w:eastAsia="Arial" w:hAnsi="Arial"/>
          <w:sz w:val="16"/>
          <w:szCs w:val="16"/>
          <w:color w:val="auto"/>
        </w:rPr>
      </w:pPr>
    </w:p>
    <w:p>
      <w:pPr>
        <w:ind w:left="720" w:right="20" w:hanging="358"/>
        <w:spacing w:after="0" w:line="279"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Expand Our Network and Suite of Offerings - </w:t>
      </w:r>
      <w:r>
        <w:rPr>
          <w:rFonts w:ascii="Arial" w:cs="Arial" w:eastAsia="Arial" w:hAnsi="Arial"/>
          <w:sz w:val="18"/>
          <w:szCs w:val="18"/>
          <w:color w:val="auto"/>
        </w:rPr>
        <w:t>We operate an extensive network of hazardous waste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and oil re-refineries, providing us with significant operating leverage as volumes increase. To meet market demand for additional hazardous waste incineration capacity, we built a second incinerator at our Kimball, Nebraska facility, which came online in late 2024, expanding our annual capacity by 70,000 tons per year. We continuously monitor market needs and look to anticipate future waste disposal requirements. For example, in response to the focus on PFAS treatment and disposal, in 2024 we launched our Total PFAS Solutions service, leveraging our unique combination of permitted laboratory, transportation, filtration and disposal assets to provide our customers with a single source provider of PFAS handling from sampling to remediation and disposal. We also seek opportunities to expand waste handling capacity or oil processing at our facilities by modifying existing permits, improving technology or significantly expanding our facilities. Selected permit modifications within our network of facilities allow us to broaden our treatment services without the significant capital investment necessary to acquire or build new waste management facilities. Additionally, we aim to grow through opening new locations in strategic areas, expanding to new waste streams and being responsive to shifting product and service needs in the marketplace.</w:t>
      </w:r>
    </w:p>
    <w:p>
      <w:pPr>
        <w:spacing w:after="0" w:line="102" w:lineRule="exact"/>
        <w:rPr>
          <w:rFonts w:ascii="Arial" w:cs="Arial" w:eastAsia="Arial" w:hAnsi="Arial"/>
          <w:sz w:val="18"/>
          <w:szCs w:val="18"/>
          <w:color w:val="auto"/>
        </w:rPr>
      </w:pPr>
    </w:p>
    <w:p>
      <w:pPr>
        <w:ind w:left="720" w:right="60" w:hanging="358"/>
        <w:spacing w:after="0" w:line="265" w:lineRule="auto"/>
        <w:tabs>
          <w:tab w:leader="none" w:pos="720"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 xml:space="preserve">Pursue Acquisitions and Divestitures - </w:t>
      </w:r>
      <w:r>
        <w:rPr>
          <w:rFonts w:ascii="Arial" w:cs="Arial" w:eastAsia="Arial" w:hAnsi="Arial"/>
          <w:sz w:val="19"/>
          <w:szCs w:val="19"/>
          <w:color w:val="auto"/>
        </w:rPr>
        <w:t>We have a history of strategic acquisitions ranging from small, “tuck-ins” to</w:t>
      </w:r>
      <w:r>
        <w:rPr>
          <w:rFonts w:ascii="Arial" w:cs="Arial" w:eastAsia="Arial" w:hAnsi="Arial"/>
          <w:sz w:val="19"/>
          <w:szCs w:val="19"/>
          <w:b w:val="1"/>
          <w:bCs w:val="1"/>
          <w:color w:val="auto"/>
        </w:rPr>
        <w:t xml:space="preserve"> </w:t>
      </w:r>
      <w:r>
        <w:rPr>
          <w:rFonts w:ascii="Arial" w:cs="Arial" w:eastAsia="Arial" w:hAnsi="Arial"/>
          <w:sz w:val="19"/>
          <w:szCs w:val="19"/>
          <w:color w:val="auto"/>
        </w:rPr>
        <w:t>large scale operations and we continue to actively pursue selective acquisitions that we believe can enhance and expand our business. During the year ending December 31, 2024, we invested nearly $500.0 million of capital in growing the business through acquisitions. Strategic acquisitions are executed to expand existing services, generate incremental revenues from existing and new customers, obtain greater market share, broaden the markets in which we operate and expand our services and expand our total waste disposal capabilities or oil re-refining capacity. In order to maximize synergies, we rapidly integrate our acquisitions into our existing processes. To complement our acquisition strategy, we also regularly review and evaluate our operations to determine whether we should divest certain non-core businesses and reallocate our resources to businesses that we believe better align with the long-term strategic direction of the Company.</w:t>
      </w:r>
    </w:p>
    <w:p>
      <w:pPr>
        <w:spacing w:after="0" w:line="109" w:lineRule="exact"/>
        <w:rPr>
          <w:rFonts w:ascii="Arial" w:cs="Arial" w:eastAsia="Arial" w:hAnsi="Arial"/>
          <w:sz w:val="19"/>
          <w:szCs w:val="19"/>
          <w:color w:val="auto"/>
        </w:rPr>
      </w:pPr>
    </w:p>
    <w:p>
      <w:pPr>
        <w:ind w:left="720" w:right="40" w:hanging="358"/>
        <w:spacing w:after="0" w:line="325"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Execute on Cost, Pricing and Productivity Initiatives - </w:t>
      </w:r>
      <w:r>
        <w:rPr>
          <w:rFonts w:ascii="Arial" w:cs="Arial" w:eastAsia="Arial" w:hAnsi="Arial"/>
          <w:sz w:val="16"/>
          <w:szCs w:val="16"/>
          <w:color w:val="auto"/>
        </w:rPr>
        <w:t>We continually seek to increase efficiency and reduce costs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enhanced technology, process improvements and strategic expense management. We seek to identify areas in our business where strategic investments in automation, process improvements and employees can serve to increase productivity, efficiency and safety compliance. We continuously focus on the operating leverage of our support functions, including expanding globally to achieve profitability and productivity benefits. We aim to price our services and products competitively, understanding the demands of our customers, the inherent value of our network of assets and operations and our ability to quickly respond to market and macroeconomic changes. We also understand the</w:t>
      </w:r>
    </w:p>
    <w:p>
      <w:pPr>
        <w:sectPr>
          <w:pgSz w:w="11880" w:h="15480" w:orient="portrait"/>
          <w:cols w:equalWidth="0" w:num="1">
            <w:col w:w="10100"/>
          </w:cols>
          <w:pgMar w:left="880" w:top="575" w:right="90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100"/>
          </w:cols>
          <w:pgMar w:left="880" w:top="575" w:right="900" w:bottom="0" w:gutter="0" w:footer="0" w:header="0"/>
          <w:type w:val="continuous"/>
        </w:sectPr>
      </w:pPr>
    </w:p>
    <w:bookmarkStart w:id="12" w:name="page13"/>
    <w:bookmarkEnd w:id="12"/>
    <w:p>
      <w:pPr>
        <w:ind w:left="720" w:right="380"/>
        <w:spacing w:after="0" w:line="276" w:lineRule="auto"/>
        <w:rPr>
          <w:sz w:val="20"/>
          <w:szCs w:val="20"/>
          <w:color w:val="auto"/>
        </w:rPr>
      </w:pPr>
      <w:r>
        <w:rPr>
          <w:rFonts w:ascii="Arial" w:cs="Arial" w:eastAsia="Arial" w:hAnsi="Arial"/>
          <w:sz w:val="20"/>
          <w:szCs w:val="20"/>
          <w:color w:val="auto"/>
        </w:rPr>
        <w:t>value our customers place on our products and services in a global market continuously focusing on sustainability, environmental compliance and safety.</w:t>
      </w:r>
    </w:p>
    <w:p>
      <w:pPr>
        <w:spacing w:after="0" w:line="98" w:lineRule="exact"/>
        <w:rPr>
          <w:sz w:val="20"/>
          <w:szCs w:val="20"/>
          <w:color w:val="auto"/>
        </w:rPr>
      </w:pPr>
    </w:p>
    <w:p>
      <w:pPr>
        <w:ind w:left="720" w:right="80" w:hanging="358"/>
        <w:spacing w:after="0" w:line="27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Foster Innovation through Technology - </w:t>
      </w:r>
      <w:r>
        <w:rPr>
          <w:rFonts w:ascii="Arial" w:cs="Arial" w:eastAsia="Arial" w:hAnsi="Arial"/>
          <w:sz w:val="18"/>
          <w:szCs w:val="18"/>
          <w:color w:val="auto"/>
        </w:rPr>
        <w:t>Technology has always been part of our core operations, influencing our</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from increasing throughput at our facilities to automation, including artificial intelligence and robotic process automation, to enhance productivity. We aim to utilize advanced technologies in our operations while also integrating technology-based solutions for our customers to use in the management of their generated waste streams, which promote the safety, efficiency and profitability of these operations. With technology, we are able to centrally manage our transportation network by deploying, monitoring and adjusting our transportation fleet as needs change. Technology is enhancing our customer interactions through the use of our Customer Solutions Portal, our e-commerce initiatives and through tools providing customers with real-time data on the services we are providing. We anticipate that as new waste streams arise or grow in prominence, we will develop new technology and/or improve the capabilities of existing technology to respond to these waste disposal needs. We believe that making technological investments that increase the value of our services delivered to customers pays off in a variety of ways including growth, retention, profitability and overall customer experience.</w:t>
      </w:r>
    </w:p>
    <w:p>
      <w:pPr>
        <w:spacing w:after="0" w:line="106" w:lineRule="exact"/>
        <w:rPr>
          <w:rFonts w:ascii="Arial" w:cs="Arial" w:eastAsia="Arial" w:hAnsi="Arial"/>
          <w:sz w:val="18"/>
          <w:szCs w:val="18"/>
          <w:color w:val="auto"/>
        </w:rPr>
      </w:pPr>
    </w:p>
    <w:p>
      <w:pPr>
        <w:ind w:left="720" w:hanging="358"/>
        <w:spacing w:after="0" w:line="28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Capture Emergency Response Opportunities </w:t>
      </w:r>
      <w:r>
        <w:rPr>
          <w:rFonts w:ascii="Arial" w:cs="Arial" w:eastAsia="Arial" w:hAnsi="Arial"/>
          <w:sz w:val="18"/>
          <w:szCs w:val="18"/>
          <w:color w:val="auto"/>
        </w:rPr>
        <w:t>- With our extensive national presence of over 150 response locations,</w:t>
      </w:r>
      <w:r>
        <w:rPr>
          <w:rFonts w:ascii="Arial" w:cs="Arial" w:eastAsia="Arial" w:hAnsi="Arial"/>
          <w:sz w:val="18"/>
          <w:szCs w:val="18"/>
          <w:b w:val="1"/>
          <w:bCs w:val="1"/>
          <w:color w:val="auto"/>
        </w:rPr>
        <w:t xml:space="preserve"> </w:t>
      </w:r>
      <w:r>
        <w:rPr>
          <w:rFonts w:ascii="Arial" w:cs="Arial" w:eastAsia="Arial" w:hAnsi="Arial"/>
          <w:sz w:val="18"/>
          <w:szCs w:val="18"/>
          <w:color w:val="auto"/>
        </w:rPr>
        <w:t>Clean Harbors, now including the HEPACO operations, has the manpower, equipment and technical expertise to manage large and small environmental emergencies for our customers. We can rapidly deploy experienced teams to address unplanned releases of chemicals, oil, fuels, solvents or many other hazardous material spills including PFAS or bio-contamination. We also address damage caused by hurricanes, wildfires, earthquakes and storms. These opportunities can vary in size, complexity and duration, however, in any case we aim to be the first call customers make in these situations. We can also provide turnkey offsite transportation and disposal services throughout our disposal network for soil and other contaminated materials generated from remediation activities.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71" w:lineRule="exact"/>
        <w:rPr>
          <w:sz w:val="20"/>
          <w:szCs w:val="20"/>
          <w:color w:val="auto"/>
        </w:rPr>
      </w:pPr>
    </w:p>
    <w:p>
      <w:pPr>
        <w:ind w:right="260" w:firstLine="709"/>
        <w:spacing w:after="0" w:line="256" w:lineRule="auto"/>
        <w:rPr>
          <w:sz w:val="20"/>
          <w:szCs w:val="20"/>
          <w:color w:val="auto"/>
        </w:rPr>
      </w:pPr>
      <w:r>
        <w:rPr>
          <w:rFonts w:ascii="Arial" w:cs="Arial" w:eastAsia="Arial" w:hAnsi="Arial"/>
          <w:sz w:val="20"/>
          <w:szCs w:val="20"/>
          <w:color w:val="auto"/>
        </w:rPr>
        <w:t>We operate our business in two segments: Environmental Services and SKSS. Each segment utilizes our network of specialized facilities and equipment, along with our skilled workforce, to meet the needs of our customers. Further, each has individual key performance indicators that management uses to assess results as well as certain macroeconomic trends and influences that impact the results.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Services</w:t>
      </w:r>
    </w:p>
    <w:p>
      <w:pPr>
        <w:spacing w:after="0" w:line="167" w:lineRule="exact"/>
        <w:rPr>
          <w:sz w:val="20"/>
          <w:szCs w:val="20"/>
          <w:color w:val="auto"/>
        </w:rPr>
      </w:pPr>
    </w:p>
    <w:p>
      <w:pPr>
        <w:ind w:right="40" w:firstLine="709"/>
        <w:spacing w:after="0" w:line="272" w:lineRule="auto"/>
        <w:rPr>
          <w:sz w:val="20"/>
          <w:szCs w:val="20"/>
          <w:color w:val="auto"/>
        </w:rPr>
      </w:pPr>
      <w:r>
        <w:rPr>
          <w:rFonts w:ascii="Arial" w:cs="Arial" w:eastAsia="Arial" w:hAnsi="Arial"/>
          <w:sz w:val="18"/>
          <w:szCs w:val="18"/>
          <w:color w:val="auto"/>
        </w:rPr>
        <w:t>Our Environmental Services business offers an array of services to customers. We safely collect, transport, treat and dispose of hazardous and non-hazardous waste, including resource recovery, physical treatment, incineration, landfill disposal, wastewater treatment, lab chemical disposal, explosives management and CleanPack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services. Our CleanPack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services include the collection, identification, categorization, specialized packaging, transportation and disposal of laboratory chemicals and household hazardous waste. As noted above, in 2024 we launched our Total PFAS Solutions service, providing our customers with a single source provider of PFAS handling from sampling to remediation and disposal. We also perform a wide range of industrial maintenance and specialty industrial services and utilize specialty equipment and resources to perform services at any chosen location on a planned or emergency response basis. Additionally, we collect containerized waste and provide parts washer and vacuum services to small quantity generators of hazardous waste. All of these services are designed to address environmental challenges through innovation and the latest technologies. We offer sustainable solutions that aim to recycle waste materials whenever possible.</w:t>
      </w:r>
    </w:p>
    <w:p>
      <w:pPr>
        <w:spacing w:after="0" w:line="112" w:lineRule="exact"/>
        <w:rPr>
          <w:sz w:val="20"/>
          <w:szCs w:val="20"/>
          <w:color w:val="auto"/>
        </w:rPr>
      </w:pPr>
    </w:p>
    <w:p>
      <w:pPr>
        <w:ind w:right="20" w:firstLine="709"/>
        <w:spacing w:after="0" w:line="264" w:lineRule="auto"/>
        <w:rPr>
          <w:sz w:val="20"/>
          <w:szCs w:val="20"/>
          <w:color w:val="auto"/>
        </w:rPr>
      </w:pPr>
      <w:r>
        <w:rPr>
          <w:rFonts w:ascii="Arial" w:cs="Arial" w:eastAsia="Arial" w:hAnsi="Arial"/>
          <w:sz w:val="19"/>
          <w:szCs w:val="19"/>
          <w:color w:val="auto"/>
        </w:rPr>
        <w:t>The results of our Environmental Services segment depend upon the demand for our diverse services, the mix of which services are needed by our customer base, the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The nature and frequency of environmental cleanup services on a scheduled or emergency basis, including response to large scale events such as major chemical spills, natural disasters, or other instances where immediate and specialized services are required, impacts segment results.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w:t>
      </w:r>
    </w:p>
    <w:p>
      <w:pPr>
        <w:spacing w:after="0" w:line="118" w:lineRule="exact"/>
        <w:rPr>
          <w:sz w:val="20"/>
          <w:szCs w:val="20"/>
          <w:color w:val="auto"/>
        </w:rPr>
      </w:pPr>
    </w:p>
    <w:p>
      <w:pPr>
        <w:ind w:right="20" w:firstLine="709"/>
        <w:spacing w:after="0" w:line="340" w:lineRule="auto"/>
        <w:rPr>
          <w:sz w:val="20"/>
          <w:szCs w:val="20"/>
          <w:color w:val="auto"/>
        </w:rPr>
      </w:pPr>
      <w:r>
        <w:rPr>
          <w:rFonts w:ascii="Arial" w:cs="Arial" w:eastAsia="Arial" w:hAnsi="Arial"/>
          <w:sz w:val="16"/>
          <w:szCs w:val="16"/>
          <w:color w:val="auto"/>
        </w:rPr>
        <w:t>In managing the business and evaluating performance, management tracks the volumes and overall mix of waste handled and disposed of or recycled, generally through our incinerators, TSDFs, wastewater treatment facilities and landfills, the utilization rates of our incinerators, equipment and workforce, including billable hours, and the number of parts washer services performed, and pricing realized by our business and peer companies as well as other key metrics. Levels of activity and</w:t>
      </w:r>
    </w:p>
    <w:p>
      <w:pPr>
        <w:sectPr>
          <w:pgSz w:w="11880" w:h="15480" w:orient="portrait"/>
          <w:cols w:equalWidth="0" w:num="1">
            <w:col w:w="10120"/>
          </w:cols>
          <w:pgMar w:left="880" w:top="575" w:right="88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120"/>
          </w:cols>
          <w:pgMar w:left="880" w:top="575" w:right="880" w:bottom="0" w:gutter="0" w:footer="0" w:header="0"/>
          <w:type w:val="continuous"/>
        </w:sectPr>
      </w:pPr>
    </w:p>
    <w:bookmarkStart w:id="13" w:name="page14"/>
    <w:bookmarkEnd w:id="13"/>
    <w:p>
      <w:pPr>
        <w:ind w:right="140"/>
        <w:spacing w:after="0" w:line="289" w:lineRule="auto"/>
        <w:rPr>
          <w:sz w:val="20"/>
          <w:szCs w:val="20"/>
          <w:color w:val="auto"/>
        </w:rPr>
      </w:pPr>
      <w:r>
        <w:rPr>
          <w:rFonts w:ascii="Arial" w:cs="Arial" w:eastAsia="Arial" w:hAnsi="Arial"/>
          <w:sz w:val="18"/>
          <w:szCs w:val="18"/>
          <w:color w:val="auto"/>
        </w:rPr>
        <w:t>ultimate performance associated with this segment can be impacted by several factors including overall North American GDP, U.S. industrial production, economic conditions in the general manufacturing, chemical and automotive markets including efforts and economic incentives to increase domestic operations, available capacity at waste disposal outlets, weather conditions, efficiency of our operations, technology, changing regulations, competition, market pricing of our services, costs incurred to deliver our services and the management of our related operating costs.</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Technical Services</w:t>
      </w:r>
    </w:p>
    <w:p>
      <w:pPr>
        <w:spacing w:after="0" w:line="167" w:lineRule="exact"/>
        <w:rPr>
          <w:sz w:val="20"/>
          <w:szCs w:val="20"/>
          <w:color w:val="auto"/>
        </w:rPr>
      </w:pPr>
    </w:p>
    <w:p>
      <w:pPr>
        <w:ind w:right="180" w:firstLine="709"/>
        <w:spacing w:after="0" w:line="256" w:lineRule="auto"/>
        <w:rPr>
          <w:sz w:val="20"/>
          <w:szCs w:val="20"/>
          <w:color w:val="auto"/>
        </w:rPr>
      </w:pPr>
      <w:r>
        <w:rPr>
          <w:rFonts w:ascii="Arial" w:cs="Arial" w:eastAsia="Arial" w:hAnsi="Arial"/>
          <w:sz w:val="19"/>
          <w:szCs w:val="19"/>
          <w:color w:val="auto"/>
        </w:rPr>
        <w:t>We provide technical services through a network of service centers from which a fleet of vehicles are dispatched to pick up customers’ waste either on a predetermined schedule or on demand, and to deliver the waste to permitted facilities, which are usually Company-owned. Our service centers can also dispatch chemists to a customer location for collection of chemical and laboratory waste for disposal. InSite Service</w:t>
      </w:r>
      <w:r>
        <w:rPr>
          <w:rFonts w:ascii="Arial" w:cs="Arial" w:eastAsia="Arial" w:hAnsi="Arial"/>
          <w:sz w:val="24"/>
          <w:szCs w:val="24"/>
          <w:color w:val="auto"/>
          <w:vertAlign w:val="superscript"/>
        </w:rPr>
        <w:t>®</w:t>
      </w:r>
      <w:r>
        <w:rPr>
          <w:rFonts w:ascii="Arial" w:cs="Arial" w:eastAsia="Arial" w:hAnsi="Arial"/>
          <w:sz w:val="19"/>
          <w:szCs w:val="19"/>
          <w:color w:val="auto"/>
        </w:rPr>
        <w:t xml:space="preserve"> offerings is a branded on-site/in-plant service delivery program through which we offer a full range of environmental, industrial and waste management services. This signature program is built on safety, quality, efficiency and integrity, and has been offered by Clean Harbors for more than 30 years. By leveraging Clean Harbors’ expertise and capabilities, our on-site crews are dedicated to developing the safest, most cost-effective and sustainable solutions to service customers’ needs.</w:t>
      </w:r>
    </w:p>
    <w:p>
      <w:pPr>
        <w:spacing w:after="0" w:line="123" w:lineRule="exact"/>
        <w:rPr>
          <w:sz w:val="20"/>
          <w:szCs w:val="20"/>
          <w:color w:val="auto"/>
        </w:rPr>
      </w:pPr>
    </w:p>
    <w:p>
      <w:pPr>
        <w:ind w:right="20" w:firstLine="709"/>
        <w:spacing w:after="0" w:line="293" w:lineRule="auto"/>
        <w:rPr>
          <w:sz w:val="20"/>
          <w:szCs w:val="20"/>
          <w:color w:val="auto"/>
        </w:rPr>
      </w:pPr>
      <w:r>
        <w:rPr>
          <w:rFonts w:ascii="Arial" w:cs="Arial" w:eastAsia="Arial" w:hAnsi="Arial"/>
          <w:sz w:val="18"/>
          <w:szCs w:val="18"/>
          <w:color w:val="auto"/>
        </w:rPr>
        <w:t>As an integral part of our services, we collect industrial waste from customers and transport such waste to and between our facilities for treatment or bulking for shipment to final disposal locations. Waste is typically accumulated in containers, such as 55-gallon drums, bulk storage tanks or 20-cubic-yard roll-off containers. In providing this service, we utilize a variety of specially designed and constructed tank trucks and semi-trailers as well as third-party transporters and rail.</w:t>
      </w:r>
    </w:p>
    <w:p>
      <w:pPr>
        <w:spacing w:after="0" w:line="92" w:lineRule="exact"/>
        <w:rPr>
          <w:sz w:val="20"/>
          <w:szCs w:val="20"/>
          <w:color w:val="auto"/>
        </w:rPr>
      </w:pPr>
    </w:p>
    <w:p>
      <w:pPr>
        <w:ind w:firstLine="709"/>
        <w:spacing w:after="0" w:line="254" w:lineRule="auto"/>
        <w:rPr>
          <w:sz w:val="20"/>
          <w:szCs w:val="20"/>
          <w:color w:val="auto"/>
        </w:rPr>
      </w:pPr>
      <w:r>
        <w:rPr>
          <w:rFonts w:ascii="Arial" w:cs="Arial" w:eastAsia="Arial" w:hAnsi="Arial"/>
          <w:sz w:val="20"/>
          <w:szCs w:val="20"/>
          <w:color w:val="auto"/>
        </w:rPr>
        <w:t>We recycle, treat and dispose of hazardous and non-hazardous waste. Certain waste handled includes substances which are classified as “hazardous” because of their corrosive, ignitable, infectious, reactive or toxic properties and other substances subject to federal, state and provincial environmental regulation. We provide final treatment and disposal services designed to manage waste which cannot be otherwise safely and/or economically recycled or reused. The waste that we handle comes in solid, sludge, liquid and gas form.</w:t>
      </w:r>
    </w:p>
    <w:p>
      <w:pPr>
        <w:spacing w:after="0" w:line="123" w:lineRule="exact"/>
        <w:rPr>
          <w:sz w:val="20"/>
          <w:szCs w:val="20"/>
          <w:color w:val="auto"/>
        </w:rPr>
      </w:pPr>
    </w:p>
    <w:p>
      <w:pPr>
        <w:ind w:right="20" w:firstLine="709"/>
        <w:spacing w:after="0" w:line="270" w:lineRule="auto"/>
        <w:rPr>
          <w:sz w:val="20"/>
          <w:szCs w:val="20"/>
          <w:color w:val="auto"/>
        </w:rPr>
      </w:pPr>
      <w:r>
        <w:rPr>
          <w:rFonts w:ascii="Arial" w:cs="Arial" w:eastAsia="Arial" w:hAnsi="Arial"/>
          <w:sz w:val="19"/>
          <w:szCs w:val="19"/>
          <w:color w:val="auto"/>
        </w:rPr>
        <w:t>Incineration is the preferred method for the treatment of organic hazardous waste because it effectively destroys the contaminants at high temperatures. High temperature incineration safely and efficiently eliminates organic waste such as herbicides, halogenated solvents, pesticides and pharmaceutical and refinery waste, regardless of form as gas, liquid, sludge or solid. Federal and state incineration regulations require a destruction and removal efficiency of at least 99.99% for most organic waste and our incinerators meet or exceed these requirements.</w:t>
      </w:r>
    </w:p>
    <w:p>
      <w:pPr>
        <w:spacing w:after="0" w:line="111" w:lineRule="exact"/>
        <w:rPr>
          <w:sz w:val="20"/>
          <w:szCs w:val="20"/>
          <w:color w:val="auto"/>
        </w:rPr>
      </w:pPr>
    </w:p>
    <w:p>
      <w:pPr>
        <w:ind w:firstLine="709"/>
        <w:spacing w:after="0" w:line="281" w:lineRule="auto"/>
        <w:rPr>
          <w:sz w:val="20"/>
          <w:szCs w:val="20"/>
          <w:color w:val="auto"/>
        </w:rPr>
      </w:pPr>
      <w:r>
        <w:rPr>
          <w:rFonts w:ascii="Arial" w:cs="Arial" w:eastAsia="Arial" w:hAnsi="Arial"/>
          <w:sz w:val="18"/>
          <w:szCs w:val="18"/>
          <w:color w:val="auto"/>
        </w:rPr>
        <w:t>As of December 31, 2024, we operated ten active incinerators at five facilities that offer a wide range of technological capabilities to customers. Our incinerator facilities in the United States are designed to process waste through the use of high-tech, high temperature incineration. Our technologies include rotary kiln incineration, which provides greater flexibility in destruction of hazardous waste, and fluidized bed incineration which helps promote a more complete organic combustion than other incineration technologies. Our incinerator facility in Lambton, Ontario, is a liquid injection incinerator designed primarily for the destruction of liquid organic waste. Typical waste streams at this location include wastewater with low levels of organics and other higher concentration organic liquid waste not amenable to conventional physical or chemical waste treatment. For 2024, our facilities operated with an annual practical capacity of 561,721 tons. With the opening of our new incinerator in Kimball Nebraska, this annual practical capacity will increase by 70,000 for 2025 and beyond.</w:t>
      </w:r>
    </w:p>
    <w:p>
      <w:pPr>
        <w:spacing w:after="0" w:line="104" w:lineRule="exact"/>
        <w:rPr>
          <w:sz w:val="20"/>
          <w:szCs w:val="20"/>
          <w:color w:val="auto"/>
        </w:rPr>
      </w:pPr>
    </w:p>
    <w:p>
      <w:pPr>
        <w:ind w:right="60" w:firstLine="709"/>
        <w:spacing w:after="0" w:line="252" w:lineRule="auto"/>
        <w:rPr>
          <w:sz w:val="20"/>
          <w:szCs w:val="20"/>
          <w:color w:val="auto"/>
        </w:rPr>
      </w:pPr>
      <w:r>
        <w:rPr>
          <w:rFonts w:ascii="Arial" w:cs="Arial" w:eastAsia="Arial" w:hAnsi="Arial"/>
          <w:sz w:val="20"/>
          <w:szCs w:val="20"/>
          <w:color w:val="auto"/>
        </w:rPr>
        <w:t>Landfills are primarily used for disposal of inorganic waste. In the United States and Canada, we operate seven commercial landfills, six of which are designed and permitted for disposal of hazardous waste and one which is operated for non-hazardous industrial waste disposal. Of our six commercial hazardous waste landfills, four are located in the United States and two are located in Canada. Our non-hazardous landfill is located in the United States. In addition to our seven commercial landfills, we also own and operate one non-commercial landfill that only accepts waste from our Kimball on-site incinerator, as described above.</w:t>
      </w:r>
    </w:p>
    <w:p>
      <w:pPr>
        <w:spacing w:after="0" w:line="127" w:lineRule="exact"/>
        <w:rPr>
          <w:sz w:val="20"/>
          <w:szCs w:val="20"/>
          <w:color w:val="auto"/>
        </w:rPr>
      </w:pPr>
    </w:p>
    <w:p>
      <w:pPr>
        <w:ind w:right="140" w:firstLine="758"/>
        <w:spacing w:after="0" w:line="280" w:lineRule="auto"/>
        <w:rPr>
          <w:sz w:val="20"/>
          <w:szCs w:val="20"/>
          <w:color w:val="auto"/>
        </w:rPr>
      </w:pPr>
      <w:r>
        <w:rPr>
          <w:rFonts w:ascii="Arial" w:cs="Arial" w:eastAsia="Arial" w:hAnsi="Arial"/>
          <w:sz w:val="18"/>
          <w:szCs w:val="18"/>
          <w:color w:val="auto"/>
        </w:rPr>
        <w:t>As of December 31, 2024, the useful economic lives of our six commercial hazardous waste landfills included approximately 23.2 million cubic yards of remaining capacity. We estimate the useful economic lives of landfills to include permitted airspace and unpermitted airspace that our management believes to be probable of being permitted based on our analysis of various factors. In addition to the capacity included in the useful economic life of these landfills, there are approximately 37.5 million cubic yards of additional unpermitted airspace capacity included in the footprints of these landfills that may ultimately be permitted, although there can be no assurance that this additional capacity will be permitted. As of December 31, 2024, the useful economic life of our non-hazardous industrial landfill included 3.2 million cubic yards of remaining permitted capacity. This facility is located in the United States and has been issued operating permits under Subtitle D of the Resource Conservation and Recovery Act (“RCRA”). Our non-hazardous landfill facility is permitted to accept commercial industrial waste, including waste from demolition and construction.</w:t>
      </w:r>
    </w:p>
    <w:p>
      <w:pPr>
        <w:sectPr>
          <w:pgSz w:w="11880" w:h="15480" w:orient="portrait"/>
          <w:cols w:equalWidth="0" w:num="1">
            <w:col w:w="10100"/>
          </w:cols>
          <w:pgMar w:left="880" w:top="575" w:right="90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100"/>
          </w:cols>
          <w:pgMar w:left="880" w:top="575" w:right="900" w:bottom="0" w:gutter="0" w:footer="0" w:header="0"/>
          <w:type w:val="continuous"/>
        </w:sectPr>
      </w:pPr>
    </w:p>
    <w:bookmarkStart w:id="14" w:name="page15"/>
    <w:bookmarkEnd w:id="14"/>
    <w:p>
      <w:pPr>
        <w:jc w:val="both"/>
        <w:ind w:right="60" w:firstLine="709"/>
        <w:spacing w:after="0" w:line="289" w:lineRule="auto"/>
        <w:rPr>
          <w:sz w:val="20"/>
          <w:szCs w:val="20"/>
          <w:color w:val="auto"/>
        </w:rPr>
      </w:pPr>
      <w:r>
        <w:rPr>
          <w:rFonts w:ascii="Arial" w:cs="Arial" w:eastAsia="Arial" w:hAnsi="Arial"/>
          <w:sz w:val="18"/>
          <w:szCs w:val="18"/>
          <w:color w:val="auto"/>
        </w:rPr>
        <w:t>Another waste disposal outlet in our network of facilities are our TSDFs that collect, temporarily store, process and/or consolidate compatible waste streams for more efficient processing and transportation to final recycling, treatment or disposal destinations. These facilities hold special, hard to come by permits, such as Part B permits under the RCRA, which allow them to process, transfer and dispose of waste through various technologies including recycling, incineration, landfill and wastewater treatment depending on each location's permitted and constructed capabilities.</w:t>
      </w:r>
    </w:p>
    <w:p>
      <w:pPr>
        <w:spacing w:after="0" w:line="93" w:lineRule="exact"/>
        <w:rPr>
          <w:sz w:val="20"/>
          <w:szCs w:val="20"/>
          <w:color w:val="auto"/>
        </w:rPr>
      </w:pPr>
    </w:p>
    <w:p>
      <w:pPr>
        <w:ind w:right="80" w:firstLine="709"/>
        <w:spacing w:after="0" w:line="252" w:lineRule="auto"/>
        <w:rPr>
          <w:sz w:val="20"/>
          <w:szCs w:val="20"/>
          <w:color w:val="auto"/>
        </w:rPr>
      </w:pPr>
      <w:r>
        <w:rPr>
          <w:rFonts w:ascii="Arial" w:cs="Arial" w:eastAsia="Arial" w:hAnsi="Arial"/>
          <w:sz w:val="20"/>
          <w:szCs w:val="20"/>
          <w:color w:val="auto"/>
        </w:rPr>
        <w:t>We operate recycling systems for the reclamation and reuse of certain waste, particularly solvent-based waste generated by industrial cleaning operations, metal finishing and other manufacturing processes. Resource recovery involves the treatment of waste using various methods, which effectively remove contaminants from the original material to restore its fitness for its intended purpose and to reduce the volume of waste requiring disposal. We also operate a recycling facility that recycles refinery waste and spent catalyst. The recycled oil and catalysts, depending on market conditions, are sold to third parties.</w:t>
      </w:r>
    </w:p>
    <w:p>
      <w:pPr>
        <w:spacing w:after="0" w:line="127" w:lineRule="exact"/>
        <w:rPr>
          <w:sz w:val="20"/>
          <w:szCs w:val="20"/>
          <w:color w:val="auto"/>
        </w:rPr>
      </w:pPr>
    </w:p>
    <w:p>
      <w:pPr>
        <w:ind w:right="20" w:firstLine="709"/>
        <w:spacing w:after="0" w:line="254" w:lineRule="auto"/>
        <w:rPr>
          <w:sz w:val="20"/>
          <w:szCs w:val="20"/>
          <w:color w:val="auto"/>
        </w:rPr>
      </w:pPr>
      <w:r>
        <w:rPr>
          <w:rFonts w:ascii="Arial" w:cs="Arial" w:eastAsia="Arial" w:hAnsi="Arial"/>
          <w:sz w:val="20"/>
          <w:szCs w:val="20"/>
          <w:color w:val="auto"/>
        </w:rPr>
        <w:t>Our wastewater treatment facilities process hazardous and non-hazardous waste through use of physical and chemical treatment methods. Our eleven wastewater treatment facilities offer or employ a range of wastewater treatment technologies. These facilities treat a broad range of liquid and semi-liquid waste containing heavy metals, organics and suspended solids. Our treatment of wastewater, including PFAS removal, is also employed by our teams at customer sites using our specialized carbon treatment systems.</w:t>
      </w:r>
    </w:p>
    <w:p>
      <w:pPr>
        <w:spacing w:after="0" w:line="123" w:lineRule="exact"/>
        <w:rPr>
          <w:sz w:val="20"/>
          <w:szCs w:val="20"/>
          <w:color w:val="auto"/>
        </w:rPr>
      </w:pPr>
    </w:p>
    <w:p>
      <w:pPr>
        <w:ind w:firstLine="709"/>
        <w:spacing w:after="0" w:line="254" w:lineRule="auto"/>
        <w:rPr>
          <w:sz w:val="20"/>
          <w:szCs w:val="20"/>
          <w:color w:val="auto"/>
        </w:rPr>
      </w:pPr>
      <w:r>
        <w:rPr>
          <w:rFonts w:ascii="Arial" w:cs="Arial" w:eastAsia="Arial" w:hAnsi="Arial"/>
          <w:sz w:val="20"/>
          <w:szCs w:val="20"/>
          <w:color w:val="auto"/>
        </w:rPr>
        <w:t>We also provide total project management services in areas such as chemical packing, on-site waste management, remediation, compliance training and emergency spill response, while leveraging Clean Harbors’ network of service centers and environmental capabilities. Our household hazardous waste collection services provide municipalities with a partner for the collection and disposal of household paints, solvents, batteries, fluorescent lamps, pesticides, cleaners and other hazardous materials.</w:t>
      </w:r>
    </w:p>
    <w:p>
      <w:pPr>
        <w:spacing w:after="0" w:line="120"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Industrial Services</w:t>
      </w:r>
    </w:p>
    <w:p>
      <w:pPr>
        <w:spacing w:after="0" w:line="167" w:lineRule="exact"/>
        <w:rPr>
          <w:sz w:val="20"/>
          <w:szCs w:val="20"/>
          <w:color w:val="auto"/>
        </w:rPr>
      </w:pPr>
    </w:p>
    <w:p>
      <w:pPr>
        <w:ind w:right="600" w:firstLine="709"/>
        <w:spacing w:after="0" w:line="261" w:lineRule="auto"/>
        <w:rPr>
          <w:sz w:val="20"/>
          <w:szCs w:val="20"/>
          <w:color w:val="auto"/>
        </w:rPr>
      </w:pPr>
      <w:r>
        <w:rPr>
          <w:rFonts w:ascii="Arial" w:cs="Arial" w:eastAsia="Arial" w:hAnsi="Arial"/>
          <w:sz w:val="20"/>
          <w:szCs w:val="20"/>
          <w:color w:val="auto"/>
        </w:rPr>
        <w:t>We perform industrial cleaning, maintenance and support services and specialty industrial services at refineries, chemical plants, upgraders, power generation and other utilities facilities, manufacturing facilities and other industrial customers throughout North America.</w:t>
      </w:r>
    </w:p>
    <w:p>
      <w:pPr>
        <w:spacing w:after="0" w:line="116" w:lineRule="exact"/>
        <w:rPr>
          <w:sz w:val="20"/>
          <w:szCs w:val="20"/>
          <w:color w:val="auto"/>
        </w:rPr>
      </w:pPr>
    </w:p>
    <w:p>
      <w:pPr>
        <w:ind w:right="60" w:firstLine="709"/>
        <w:spacing w:after="0" w:line="327" w:lineRule="auto"/>
        <w:rPr>
          <w:sz w:val="20"/>
          <w:szCs w:val="20"/>
          <w:color w:val="auto"/>
        </w:rPr>
      </w:pPr>
      <w:r>
        <w:rPr>
          <w:rFonts w:ascii="Arial" w:cs="Arial" w:eastAsia="Arial" w:hAnsi="Arial"/>
          <w:sz w:val="16"/>
          <w:szCs w:val="16"/>
          <w:color w:val="auto"/>
        </w:rPr>
        <w:t>Our industrial services crews support ongoing in-plant cleaning and maintenance services on our customers' mission critical equipment and infrastructure. These services include liquid and dry vacuum services, hydro-blasting, dewatering and materials processing, leak detection and repair, tank cleaning, specialty mechanical services, vapor control, water and chemical hauling, foam cleaning, steam cleaning, ultrasonic cleaning technology and temporary housing services. We provide a variety of specialized industrial services including plant outage and turnaround services, specialty cleaning services including chemical cleaning and high and ultra-high pressure water cleaning, production services and upstream energy services.</w:t>
      </w:r>
    </w:p>
    <w:p>
      <w:pPr>
        <w:spacing w:after="0" w:line="6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Field and Emergency Response Services</w:t>
      </w:r>
    </w:p>
    <w:p>
      <w:pPr>
        <w:spacing w:after="0" w:line="167" w:lineRule="exact"/>
        <w:rPr>
          <w:sz w:val="20"/>
          <w:szCs w:val="20"/>
          <w:color w:val="auto"/>
        </w:rPr>
      </w:pPr>
    </w:p>
    <w:p>
      <w:pPr>
        <w:ind w:right="100" w:firstLine="709"/>
        <w:spacing w:after="0" w:line="281" w:lineRule="auto"/>
        <w:rPr>
          <w:sz w:val="20"/>
          <w:szCs w:val="20"/>
          <w:color w:val="auto"/>
        </w:rPr>
      </w:pPr>
      <w:r>
        <w:rPr>
          <w:rFonts w:ascii="Arial" w:cs="Arial" w:eastAsia="Arial" w:hAnsi="Arial"/>
          <w:sz w:val="18"/>
          <w:szCs w:val="18"/>
          <w:color w:val="auto"/>
        </w:rPr>
        <w:t>Our crews and equipment are dispatched on a planned or emergency basis and perform services such as large remediation projects, spill cleanup on land and water, demolition, site disinfecting, decontamination and disposal, confined space entry for tank cleaning, railcar cleaning, hydro excavation, manhole/vault clean outs, product recovery and transfer, scarifying and media blasting, vacuum services, filtration, water treatment services and wetland restoration. We are also a leader in providing response services for environmental emergencies of any scale from man-made disasters such as oil spills and natural disasters such as hurricanes. We provide these field and emergency response services to a variety of customers across industries including utilities, manufacturing, transportation services and more. Our March 2024 acquisition of HEPACO Blocker, Inc. and its subsidiaries (collectively, “HEPACO”) has expanded our field and emergency response services with HEPACO’s leading emergency response dispatching and management capabilities.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Safety-Kleen Environmental Core Services</w:t>
      </w:r>
    </w:p>
    <w:p>
      <w:pPr>
        <w:spacing w:after="0" w:line="167" w:lineRule="exact"/>
        <w:rPr>
          <w:sz w:val="20"/>
          <w:szCs w:val="20"/>
          <w:color w:val="auto"/>
        </w:rPr>
      </w:pPr>
    </w:p>
    <w:p>
      <w:pPr>
        <w:ind w:right="20" w:firstLine="709"/>
        <w:spacing w:after="0" w:line="320" w:lineRule="auto"/>
        <w:rPr>
          <w:sz w:val="20"/>
          <w:szCs w:val="20"/>
          <w:color w:val="auto"/>
        </w:rPr>
      </w:pPr>
      <w:r>
        <w:rPr>
          <w:rFonts w:ascii="Arial" w:cs="Arial" w:eastAsia="Arial" w:hAnsi="Arial"/>
          <w:sz w:val="16"/>
          <w:szCs w:val="16"/>
          <w:color w:val="auto"/>
        </w:rPr>
        <w:t>Our Safety-Kleen Environmental branches’ core service offerings focus on the small quantity waste generators predominately within the general manufacturing, automotive and transportation services industries. General manufacturing accounts for more than thirty percent of the revenues for our Safety-Kleen Environmental revenues with automotive customers making up less than twenty-five percent. We provide containerized waste, parts-washer and vacuum services to a diverse range of customers including automobile repair shops, car and truck dealers, metal fabricators, machine manufacturers, fleet maintenance shops and other automotive, industrial and retail customers. We collect and transport hazardous and non-hazardous containerized waste for recycling or disposal, primarily through the Clean Harbors’ network of recycling, treatment and disposal facilities. As the largest provider of parts cleaning services in North America, we offer a complete line of specially designed parts washers to customer locations and then deliver recurring service that includes machine cleaning and maintenance and disposal and replenishment of clean solvent or aqueous fluids. Our vacuum services remove solids, residual oily water and</w:t>
      </w:r>
    </w:p>
    <w:p>
      <w:pPr>
        <w:sectPr>
          <w:pgSz w:w="11880" w:h="15480" w:orient="portrait"/>
          <w:cols w:equalWidth="0" w:num="1">
            <w:col w:w="10120"/>
          </w:cols>
          <w:pgMar w:left="880" w:top="5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120"/>
          </w:cols>
          <w:pgMar w:left="880" w:top="575" w:right="880" w:bottom="0" w:gutter="0" w:footer="0" w:header="0"/>
          <w:type w:val="continuous"/>
        </w:sectPr>
      </w:pPr>
    </w:p>
    <w:bookmarkStart w:id="15" w:name="page16"/>
    <w:bookmarkEnd w:id="15"/>
    <w:p>
      <w:pPr>
        <w:ind w:right="380"/>
        <w:spacing w:after="0" w:line="261" w:lineRule="auto"/>
        <w:rPr>
          <w:sz w:val="20"/>
          <w:szCs w:val="20"/>
          <w:color w:val="auto"/>
        </w:rPr>
      </w:pPr>
      <w:r>
        <w:rPr>
          <w:rFonts w:ascii="Arial" w:cs="Arial" w:eastAsia="Arial" w:hAnsi="Arial"/>
          <w:sz w:val="20"/>
          <w:szCs w:val="20"/>
          <w:color w:val="auto"/>
        </w:rPr>
        <w:t>sludge and other fluids from customers' oil/water separators, sumps and collection tanks. We also remove and collect waste fluids found at large and small industrial locations, including metal fabricators, auto maintenance providers and general manufacturers.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Safety-Kleen Sustainability Solutions</w:t>
      </w:r>
    </w:p>
    <w:p>
      <w:pPr>
        <w:spacing w:after="0" w:line="167" w:lineRule="exact"/>
        <w:rPr>
          <w:sz w:val="20"/>
          <w:szCs w:val="20"/>
          <w:color w:val="auto"/>
        </w:rPr>
      </w:pPr>
    </w:p>
    <w:p>
      <w:pPr>
        <w:ind w:right="120" w:firstLine="709"/>
        <w:spacing w:after="0" w:line="274" w:lineRule="auto"/>
        <w:rPr>
          <w:sz w:val="20"/>
          <w:szCs w:val="20"/>
          <w:color w:val="auto"/>
        </w:rPr>
      </w:pPr>
      <w:r>
        <w:rPr>
          <w:rFonts w:ascii="Arial" w:cs="Arial" w:eastAsia="Arial" w:hAnsi="Arial"/>
          <w:sz w:val="19"/>
          <w:szCs w:val="19"/>
          <w:color w:val="auto"/>
        </w:rPr>
        <w:t>Our Safety-Kleen Sustainability Solutions business offerings span the life-cycle of lubricants and other sustainable automotive products. These operations center around our re-refineries located in East Chicago, Indiana; Breslau, Ontario; Fallon, Nevada; Kingsland, Georgia; Tacoma, Washington; Wichita, Kansas; Rollinsford, New Hampshire and Sanford, North Carolina. As noted above, our Newark, California re-refinery, is currently idled.</w:t>
      </w:r>
    </w:p>
    <w:p>
      <w:pPr>
        <w:spacing w:after="0" w:line="105" w:lineRule="exact"/>
        <w:rPr>
          <w:sz w:val="20"/>
          <w:szCs w:val="20"/>
          <w:color w:val="auto"/>
        </w:rPr>
      </w:pPr>
    </w:p>
    <w:p>
      <w:pPr>
        <w:ind w:firstLine="709"/>
        <w:spacing w:after="0" w:line="281" w:lineRule="auto"/>
        <w:rPr>
          <w:sz w:val="20"/>
          <w:szCs w:val="20"/>
          <w:color w:val="auto"/>
        </w:rPr>
      </w:pPr>
      <w:r>
        <w:rPr>
          <w:rFonts w:ascii="Arial" w:cs="Arial" w:eastAsia="Arial" w:hAnsi="Arial"/>
          <w:sz w:val="18"/>
          <w:szCs w:val="18"/>
          <w:color w:val="auto"/>
        </w:rPr>
        <w:t>Using our nationwide fleet of trucks, tankers, rail-cars and barges, our teams collect used oil from thousands of customers which serves as feedstock for our oil re-refineries. In 2024, we collected 253 million gallons of used oil. Our state-of-the-art processes allow us to realize oil’s potential to be recycled and reused. We process the used oil into a variety of products, mostly base oils, including Group III base oils in 2024, and blended lubricating oils. Our Performance Plus® family of automotive and industrial lubricants are sold to on- and off-road corporate fleets, government entities, automotive service shops and industrial plants for hydraulic components, motors, pumps and valves. Our anti-wear hydraulic oils and lubricants provide extended operating life, protection from corrosion and abrasion and improved cleanliness. We also sell unbranded blended oils to distributors that resell them under their private label brands. These high-quality lubricants provide our customers with a sustainable solution to their oil demands.</w:t>
      </w:r>
    </w:p>
    <w:p>
      <w:pPr>
        <w:spacing w:after="0" w:line="104" w:lineRule="exact"/>
        <w:rPr>
          <w:sz w:val="20"/>
          <w:szCs w:val="20"/>
          <w:color w:val="auto"/>
        </w:rPr>
      </w:pPr>
    </w:p>
    <w:p>
      <w:pPr>
        <w:ind w:right="40" w:firstLine="709"/>
        <w:spacing w:after="0" w:line="268" w:lineRule="auto"/>
        <w:rPr>
          <w:sz w:val="20"/>
          <w:szCs w:val="20"/>
          <w:color w:val="auto"/>
        </w:rPr>
      </w:pPr>
      <w:r>
        <w:rPr>
          <w:rFonts w:ascii="Arial" w:cs="Arial" w:eastAsia="Arial" w:hAnsi="Arial"/>
          <w:sz w:val="19"/>
          <w:szCs w:val="19"/>
          <w:color w:val="auto"/>
        </w:rPr>
        <w:t>The used oil can also be processed into recycled fuel oil, or “RFO,” which is then sold to customers such as asphalt plants, industrial plants, pulp and paper companies or into vacuum gas oil “VGO” which can be further re-refined into lubricant base oils or sold directly into the marine diesel fuel market. Our re-refineries processed the 253 million gallons of used oil collected from customers in 2024 with some additives and additional used oil purchases, to return approximately 249 million gallons of new re-refined oil, lubricants and byproducts back into the marketplace helping our customers meet the growing demand for the use of sustainable products in their operations.</w:t>
      </w:r>
    </w:p>
    <w:p>
      <w:pPr>
        <w:spacing w:after="0" w:line="112" w:lineRule="exact"/>
        <w:rPr>
          <w:sz w:val="20"/>
          <w:szCs w:val="20"/>
          <w:color w:val="auto"/>
        </w:rPr>
      </w:pPr>
    </w:p>
    <w:p>
      <w:pPr>
        <w:jc w:val="both"/>
        <w:ind w:right="40" w:firstLine="709"/>
        <w:spacing w:after="0" w:line="303" w:lineRule="auto"/>
        <w:rPr>
          <w:sz w:val="20"/>
          <w:szCs w:val="20"/>
          <w:color w:val="auto"/>
        </w:rPr>
      </w:pPr>
      <w:r>
        <w:rPr>
          <w:rFonts w:ascii="Arial" w:cs="Arial" w:eastAsia="Arial" w:hAnsi="Arial"/>
          <w:sz w:val="18"/>
          <w:szCs w:val="18"/>
          <w:color w:val="auto"/>
        </w:rPr>
        <w:t>The SKSS operations also collect and either recycle or dispose of related automotive products including antifreeze and oil filters. We sell automotive and industrial products including antifreeze recycled through our collections, windshield washer fluid, degreasers, glass and floor cleaners, hand cleaners, absorbents, mats and spill kits.</w:t>
      </w:r>
    </w:p>
    <w:p>
      <w:pPr>
        <w:spacing w:after="0" w:line="83" w:lineRule="exact"/>
        <w:rPr>
          <w:sz w:val="20"/>
          <w:szCs w:val="20"/>
          <w:color w:val="auto"/>
        </w:rPr>
      </w:pPr>
    </w:p>
    <w:p>
      <w:pPr>
        <w:ind w:right="20" w:firstLine="709"/>
        <w:spacing w:after="0" w:line="286" w:lineRule="auto"/>
        <w:rPr>
          <w:sz w:val="20"/>
          <w:szCs w:val="20"/>
          <w:color w:val="auto"/>
        </w:rPr>
      </w:pPr>
      <w:r>
        <w:rPr>
          <w:rFonts w:ascii="Arial" w:cs="Arial" w:eastAsia="Arial" w:hAnsi="Arial"/>
          <w:sz w:val="18"/>
          <w:szCs w:val="18"/>
          <w:color w:val="auto"/>
        </w:rPr>
        <w:t>SKSS segment results are impacted by our customers’ demand for high-quality, environmentally responsible recycled oil products and their demand for our related service and product offerings. Segment results are impacted by market pricing, overall demand, partnerships and the mix of our oil products sales. Segment results are also predicated on the demand for other SKSS product and service offerings including collection services for used oil, used oil filters and other automotive fluids. These fluid collections are used as feedstock in our oil re-refining to produce our base and blended oil products and our recycled automotive related fluid products or are integrated into the Clean Harbors' recycling and disposal network.</w:t>
      </w:r>
    </w:p>
    <w:p>
      <w:pPr>
        <w:spacing w:after="0" w:line="96" w:lineRule="exact"/>
        <w:rPr>
          <w:sz w:val="20"/>
          <w:szCs w:val="20"/>
          <w:color w:val="auto"/>
        </w:rPr>
      </w:pPr>
    </w:p>
    <w:p>
      <w:pPr>
        <w:ind w:right="100" w:firstLine="709"/>
        <w:spacing w:after="0" w:line="320" w:lineRule="auto"/>
        <w:rPr>
          <w:sz w:val="20"/>
          <w:szCs w:val="20"/>
          <w:color w:val="auto"/>
        </w:rPr>
      </w:pPr>
      <w:r>
        <w:rPr>
          <w:rFonts w:ascii="Arial" w:cs="Arial" w:eastAsia="Arial" w:hAnsi="Arial"/>
          <w:sz w:val="16"/>
          <w:szCs w:val="16"/>
          <w:color w:val="auto"/>
        </w:rPr>
        <w:t>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automotive services and manufacturing markets, including supply imbalances,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Geographical Information</w:t>
      </w:r>
    </w:p>
    <w:p>
      <w:pPr>
        <w:spacing w:after="0" w:line="167" w:lineRule="exact"/>
        <w:rPr>
          <w:sz w:val="20"/>
          <w:szCs w:val="20"/>
          <w:color w:val="auto"/>
        </w:rPr>
      </w:pPr>
    </w:p>
    <w:p>
      <w:pPr>
        <w:ind w:right="120" w:firstLine="709"/>
        <w:spacing w:after="0" w:line="268" w:lineRule="auto"/>
        <w:rPr>
          <w:sz w:val="20"/>
          <w:szCs w:val="20"/>
          <w:color w:val="auto"/>
        </w:rPr>
      </w:pPr>
      <w:r>
        <w:rPr>
          <w:rFonts w:ascii="Arial" w:cs="Arial" w:eastAsia="Arial" w:hAnsi="Arial"/>
          <w:sz w:val="19"/>
          <w:szCs w:val="19"/>
          <w:color w:val="auto"/>
        </w:rPr>
        <w:t>For the year ended December 31, 2024, we generated $5,352.4 million or 90.9% of our third-party revenues in the United States and $537.5 million or 9.1% of our third-party revenues in Canada. For the year ended December 31, 2023, we generated $4,869.2 million or 90.0% of our third-party revenues in the United States and $540.0 million or 10.0% of our third-party revenues in Canada. For additional information about the geographical areas from which our revenues are derived and in which our assets are located, see Note 3, “Revenues,” and Note 20, “Segment Reporting,” respectively, to our consolidated financial statements included in Item 8 of this report.</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Acquisitions and Divestitures</w:t>
      </w:r>
    </w:p>
    <w:p>
      <w:pPr>
        <w:spacing w:after="0" w:line="171" w:lineRule="exact"/>
        <w:rPr>
          <w:sz w:val="20"/>
          <w:szCs w:val="20"/>
          <w:color w:val="auto"/>
        </w:rPr>
      </w:pPr>
    </w:p>
    <w:p>
      <w:pPr>
        <w:ind w:right="40" w:firstLine="709"/>
        <w:spacing w:after="0" w:line="405" w:lineRule="auto"/>
        <w:rPr>
          <w:sz w:val="20"/>
          <w:szCs w:val="20"/>
          <w:color w:val="auto"/>
        </w:rPr>
      </w:pPr>
      <w:r>
        <w:rPr>
          <w:rFonts w:ascii="Arial" w:cs="Arial" w:eastAsia="Arial" w:hAnsi="Arial"/>
          <w:sz w:val="16"/>
          <w:szCs w:val="16"/>
          <w:color w:val="auto"/>
        </w:rPr>
        <w:t>As noted above, we execute acquisitions as an element of our business strategy to create opportunities for profitable growth. We also monitor our operations for opportunities to reallocate resources through the divestiture of non-core businesses.</w:t>
      </w:r>
    </w:p>
    <w:p>
      <w:pPr>
        <w:sectPr>
          <w:pgSz w:w="11880" w:h="15480" w:orient="portrait"/>
          <w:cols w:equalWidth="0" w:num="1">
            <w:col w:w="10100"/>
          </w:cols>
          <w:pgMar w:left="880" w:top="575" w:right="900" w:bottom="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100"/>
          </w:cols>
          <w:pgMar w:left="880" w:top="575" w:right="900" w:bottom="0" w:gutter="0" w:footer="0" w:header="0"/>
          <w:type w:val="continuous"/>
        </w:sectPr>
      </w:pPr>
    </w:p>
    <w:bookmarkStart w:id="16" w:name="page17"/>
    <w:bookmarkEnd w:id="16"/>
    <w:p>
      <w:pPr>
        <w:ind w:right="120" w:firstLine="709"/>
        <w:spacing w:after="0" w:line="268" w:lineRule="auto"/>
        <w:rPr>
          <w:sz w:val="20"/>
          <w:szCs w:val="20"/>
          <w:color w:val="auto"/>
        </w:rPr>
      </w:pPr>
      <w:r>
        <w:rPr>
          <w:rFonts w:ascii="Arial" w:cs="Arial" w:eastAsia="Arial" w:hAnsi="Arial"/>
          <w:sz w:val="19"/>
          <w:szCs w:val="19"/>
          <w:color w:val="auto"/>
        </w:rPr>
        <w:t>In 2024, we acquired HEPACO for an all-cash purchase price of $392.2 million, net of cash acquired. The operations of HEPACO expand the Environmental Services segment’s field services business. Also in 2024, we acquired Noble Oil Services, Inc. and its subsidiaries (collectively “Noble”) for an all-cash purchase price of $68.7 million, net of cash acquired. The acquisition of Noble expands the SKSS segment’s oil collection operations in the southeastern region of the United States while also adding incremental production from the re-refinery owned and operated by the acquired company. Additionally, we acquired three privately-owned businesses for $17.1 million.</w:t>
      </w:r>
    </w:p>
    <w:p>
      <w:pPr>
        <w:spacing w:after="0" w:line="112" w:lineRule="exact"/>
        <w:rPr>
          <w:sz w:val="20"/>
          <w:szCs w:val="20"/>
          <w:color w:val="auto"/>
        </w:rPr>
      </w:pPr>
    </w:p>
    <w:p>
      <w:pPr>
        <w:ind w:right="260" w:firstLine="709"/>
        <w:spacing w:after="0" w:line="261" w:lineRule="auto"/>
        <w:rPr>
          <w:sz w:val="20"/>
          <w:szCs w:val="20"/>
          <w:color w:val="auto"/>
        </w:rPr>
      </w:pPr>
      <w:r>
        <w:rPr>
          <w:rFonts w:ascii="Arial" w:cs="Arial" w:eastAsia="Arial" w:hAnsi="Arial"/>
          <w:sz w:val="20"/>
          <w:szCs w:val="20"/>
          <w:color w:val="auto"/>
        </w:rPr>
        <w:t>In 2023, we acquired Thompson Industrial Services, LLC (“Thompson Industrial”) for an all-cash purchase price of $110.9 million, net of cash acquired. The operations of Thompson Industrial expand the Environmental Services segment’s industrial service operations in the southeastern region of the United States.</w:t>
      </w:r>
    </w:p>
    <w:p>
      <w:pPr>
        <w:spacing w:after="0" w:line="116" w:lineRule="exact"/>
        <w:rPr>
          <w:sz w:val="20"/>
          <w:szCs w:val="20"/>
          <w:color w:val="auto"/>
        </w:rPr>
      </w:pPr>
    </w:p>
    <w:p>
      <w:pPr>
        <w:ind w:right="140" w:firstLine="709"/>
        <w:spacing w:after="0" w:line="333" w:lineRule="auto"/>
        <w:rPr>
          <w:sz w:val="20"/>
          <w:szCs w:val="20"/>
          <w:color w:val="auto"/>
        </w:rPr>
      </w:pPr>
      <w:r>
        <w:rPr>
          <w:rFonts w:ascii="Arial" w:cs="Arial" w:eastAsia="Arial" w:hAnsi="Arial"/>
          <w:sz w:val="18"/>
          <w:szCs w:val="18"/>
          <w:color w:val="auto"/>
        </w:rPr>
        <w:t>For additional information relating to our acquisition and divestiture activities, see Note 4, “Business Combinations,” and Note 5 “Disposition of Business,” to our consolidated financial statements included in Item 8 of this report.</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Protecting the Environment and Sustainability at Clean Harbors</w:t>
      </w:r>
    </w:p>
    <w:p>
      <w:pPr>
        <w:spacing w:after="0" w:line="171" w:lineRule="exact"/>
        <w:rPr>
          <w:sz w:val="20"/>
          <w:szCs w:val="20"/>
          <w:color w:val="auto"/>
        </w:rPr>
      </w:pPr>
    </w:p>
    <w:p>
      <w:pPr>
        <w:ind w:right="80" w:firstLine="709"/>
        <w:spacing w:after="0" w:line="270" w:lineRule="auto"/>
        <w:rPr>
          <w:sz w:val="20"/>
          <w:szCs w:val="20"/>
          <w:color w:val="auto"/>
        </w:rPr>
      </w:pPr>
      <w:r>
        <w:rPr>
          <w:rFonts w:ascii="Arial" w:cs="Arial" w:eastAsia="Arial" w:hAnsi="Arial"/>
          <w:sz w:val="19"/>
          <w:szCs w:val="19"/>
          <w:color w:val="auto"/>
        </w:rPr>
        <w:t>Balancing environmental, economic and social concerns is foundational to our framework for success and is expected by our employees, customers and other stakeholders. Our sustainability efforts are more than our direct efforts to protect the earth or consume fewer essential resources, it is also about doing more good and partnering with our customers to minimize their environmental impacts. Our core business is to provide industry, government and the public a wide range of solutions that protect and restore North America's natural environment and resources.</w:t>
      </w:r>
    </w:p>
    <w:p>
      <w:pPr>
        <w:spacing w:after="0" w:line="111" w:lineRule="exact"/>
        <w:rPr>
          <w:sz w:val="20"/>
          <w:szCs w:val="20"/>
          <w:color w:val="auto"/>
        </w:rPr>
      </w:pPr>
    </w:p>
    <w:p>
      <w:pPr>
        <w:ind w:firstLine="709"/>
        <w:spacing w:after="0" w:line="327" w:lineRule="auto"/>
        <w:rPr>
          <w:sz w:val="20"/>
          <w:szCs w:val="20"/>
          <w:color w:val="auto"/>
        </w:rPr>
      </w:pPr>
      <w:r>
        <w:rPr>
          <w:rFonts w:ascii="Arial" w:cs="Arial" w:eastAsia="Arial" w:hAnsi="Arial"/>
          <w:sz w:val="16"/>
          <w:szCs w:val="16"/>
          <w:color w:val="auto"/>
        </w:rPr>
        <w:t>We are committed to continuously improving our efforts around sustainability. We communicate our sustainability programs and progress across various channels. In August 2024, we published our third Sustainability Report. To enhance data transparency, we added additional disclosures which align to the Global Reporting Initiative framework and voluntary disclosures to complement our Sustainability Accounting Standards Board disclosures. A copy of this report can be found in the About Us section of our website. Neither our website nor our Sustainability Report are incorporated by reference in, or considered to be a part of, this annual report on Form 10-K or any other document, unless expressly incorporated by reference.</w:t>
      </w:r>
    </w:p>
    <w:p>
      <w:pPr>
        <w:spacing w:after="0" w:line="72" w:lineRule="exact"/>
        <w:rPr>
          <w:sz w:val="20"/>
          <w:szCs w:val="20"/>
          <w:color w:val="auto"/>
        </w:rPr>
      </w:pPr>
    </w:p>
    <w:p>
      <w:pPr>
        <w:ind w:right="40" w:firstLine="709"/>
        <w:spacing w:after="0" w:line="278" w:lineRule="auto"/>
        <w:rPr>
          <w:sz w:val="20"/>
          <w:szCs w:val="20"/>
          <w:color w:val="auto"/>
        </w:rPr>
      </w:pPr>
      <w:r>
        <w:rPr>
          <w:rFonts w:ascii="Arial" w:cs="Arial" w:eastAsia="Arial" w:hAnsi="Arial"/>
          <w:sz w:val="18"/>
          <w:szCs w:val="18"/>
          <w:color w:val="auto"/>
        </w:rPr>
        <w:t>We have requirements for periodic regulatory reporting to the EPA and other agencies that are available to the public and we continue to monitor emerging legislation which may influence requirements and potential disclosures. With a focus on emerging legislation and data transparency, we continue to work with our customers to support their carbon accounting requests, specifically emissions related to waste generated in operations, while providing mechanisms to minimize environmental impact through the products and services we offer. We voluntarily provide data to various external sustainability reporting and assessment organizations, many of which provide subscribers and the public with their rankings or scorecards of companies based on a combination of public and private information. We utilize these formal reporting platforms to inform customers and other stakeholders of our sustainability efforts. In recent years, we have been pleased to see our efforts to improve the reporting of our sustainable business practices reflected in scores from various rating organizations including EcoVadis, a rating agency specialized in assessing environmental performance and corporate social responsibility. We have shown improvement in the Environmental, Social and Governance (“ESG”) risk assessments that the Institutional Shareholder Services Inc. publishes, as well as continued improvement in the S&amp;P Global ratings system. We continue to disclose as a voluntary participant to the Carbon Disclosure Project, MSCI Environmental Social and Governance Ratings and Morningstar Sustainalytics amongst others.</w:t>
      </w:r>
    </w:p>
    <w:p>
      <w:pPr>
        <w:spacing w:after="0" w:line="111" w:lineRule="exact"/>
        <w:rPr>
          <w:sz w:val="20"/>
          <w:szCs w:val="20"/>
          <w:color w:val="auto"/>
        </w:rPr>
      </w:pPr>
    </w:p>
    <w:p>
      <w:pPr>
        <w:ind w:right="100" w:firstLine="709"/>
        <w:spacing w:after="0" w:line="322" w:lineRule="auto"/>
        <w:rPr>
          <w:sz w:val="20"/>
          <w:szCs w:val="20"/>
          <w:color w:val="auto"/>
        </w:rPr>
      </w:pPr>
      <w:r>
        <w:rPr>
          <w:rFonts w:ascii="Arial" w:cs="Arial" w:eastAsia="Arial" w:hAnsi="Arial"/>
          <w:sz w:val="16"/>
          <w:szCs w:val="16"/>
          <w:color w:val="auto"/>
        </w:rPr>
        <w:t>Clean Harbors has received recent external recognition for our sustainable customer solutions and products as well as our Company’s employee programs. In 2023, Clean Harbors was the recipient of the Sustainability Partnership Game Changer Award by the National Waste and Recycling Association. In 2024, we were named to the Corporate Knights’ Global 100 Most Sustainable Corporations in the World. Additionally, in 2023, and again in 2024, Clean Harbors was recognized as one of the Clean200, a group of 200 publicly traded companies worldwide that best incorporates sustainability into their products, services, business models and investment. For a fifth consecutive year, Clean Harbors has been recognized as a top company for women in transportation by the Women in Trucking Association. We also take great pride in our work with the veteran community, and we are honored to have received recent accolades from Military.com, Military Times and VETS Indexes.</w:t>
      </w:r>
    </w:p>
    <w:p>
      <w:pPr>
        <w:spacing w:after="0" w:line="74" w:lineRule="exact"/>
        <w:rPr>
          <w:sz w:val="20"/>
          <w:szCs w:val="20"/>
          <w:color w:val="auto"/>
        </w:rPr>
      </w:pPr>
    </w:p>
    <w:p>
      <w:pPr>
        <w:ind w:right="140" w:firstLine="709"/>
        <w:spacing w:after="0" w:line="274" w:lineRule="auto"/>
        <w:rPr>
          <w:sz w:val="20"/>
          <w:szCs w:val="20"/>
          <w:color w:val="auto"/>
        </w:rPr>
      </w:pPr>
      <w:r>
        <w:rPr>
          <w:rFonts w:ascii="Arial" w:cs="Arial" w:eastAsia="Arial" w:hAnsi="Arial"/>
          <w:sz w:val="19"/>
          <w:szCs w:val="19"/>
          <w:color w:val="auto"/>
        </w:rPr>
        <w:t>While we are proud of our performance in third-party scoring and rankings as well as acknowledgement by outside entities, the focus of our program is on tangible improvements that positively impact the environment, our community and our employees. Our overall sustainability program expands our commitment beyond our services and products to include our operations, employees and community and focuses on the following key elements: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Comprehensive Focus on Safety</w:t>
      </w:r>
    </w:p>
    <w:p>
      <w:pPr>
        <w:spacing w:after="0" w:line="167" w:lineRule="exact"/>
        <w:rPr>
          <w:sz w:val="20"/>
          <w:szCs w:val="20"/>
          <w:color w:val="auto"/>
        </w:rPr>
      </w:pPr>
    </w:p>
    <w:p>
      <w:pPr>
        <w:ind w:right="460" w:firstLine="709"/>
        <w:spacing w:after="0" w:line="405" w:lineRule="auto"/>
        <w:rPr>
          <w:sz w:val="20"/>
          <w:szCs w:val="20"/>
          <w:color w:val="auto"/>
        </w:rPr>
      </w:pPr>
      <w:r>
        <w:rPr>
          <w:rFonts w:ascii="Arial" w:cs="Arial" w:eastAsia="Arial" w:hAnsi="Arial"/>
          <w:sz w:val="16"/>
          <w:szCs w:val="16"/>
          <w:color w:val="auto"/>
        </w:rPr>
        <w:t>As noted above, safety is a core value and is foundational to our sustainability program. It is a hallmark of our Company and is embedded within programs and procedures to focus on delivering services with unparalleled safety to our</w:t>
      </w:r>
    </w:p>
    <w:p>
      <w:pPr>
        <w:sectPr>
          <w:pgSz w:w="11880" w:h="15480" w:orient="portrait"/>
          <w:cols w:equalWidth="0" w:num="1">
            <w:col w:w="10100"/>
          </w:cols>
          <w:pgMar w:left="880" w:top="575" w:right="900" w:bottom="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100"/>
          </w:cols>
          <w:pgMar w:left="880" w:top="575" w:right="900" w:bottom="0" w:gutter="0" w:footer="0" w:header="0"/>
          <w:type w:val="continuous"/>
        </w:sectPr>
      </w:pPr>
    </w:p>
    <w:bookmarkStart w:id="17" w:name="page18"/>
    <w:bookmarkEnd w:id="17"/>
    <w:p>
      <w:pPr>
        <w:ind w:right="60"/>
        <w:spacing w:after="0" w:line="284" w:lineRule="auto"/>
        <w:rPr>
          <w:sz w:val="20"/>
          <w:szCs w:val="20"/>
          <w:color w:val="auto"/>
        </w:rPr>
      </w:pPr>
      <w:r>
        <w:rPr>
          <w:rFonts w:ascii="Arial" w:cs="Arial" w:eastAsia="Arial" w:hAnsi="Arial"/>
          <w:sz w:val="18"/>
          <w:szCs w:val="18"/>
          <w:color w:val="auto"/>
        </w:rPr>
        <w:t>employees, our customers, local communities and all stakeholders. For example, our Company-wide Green Hat program identifies newly hired teammates by their green hats, signaling to more senior teammates to provide extra help, oversight or explanation. With this focus on safety, our low injury rates are among the best in our industry. In 2024, we achieved a TRIR of 0.65 and a Company-best DART of 0.27. Additionally, in 2024, seven of our U.S. sites have earned Star status within the U.S. Occupational Safety &amp; Health Administration’s Voluntary Protection Program ("VPP") for their safety management systems and low injury and illness rates, up from six sites in the prior year. To put this accomplishment in context, less than 0.1% of the eight million U.S. workplaces have earned this elite VPP recognition.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Operations/ Customer Solutions</w:t>
      </w:r>
    </w:p>
    <w:p>
      <w:pPr>
        <w:spacing w:after="0" w:line="167" w:lineRule="exact"/>
        <w:rPr>
          <w:sz w:val="20"/>
          <w:szCs w:val="20"/>
          <w:color w:val="auto"/>
        </w:rPr>
      </w:pPr>
    </w:p>
    <w:p>
      <w:pPr>
        <w:ind w:firstLine="709"/>
        <w:spacing w:after="0" w:line="270" w:lineRule="auto"/>
        <w:rPr>
          <w:sz w:val="20"/>
          <w:szCs w:val="20"/>
          <w:color w:val="auto"/>
        </w:rPr>
      </w:pPr>
      <w:r>
        <w:rPr>
          <w:rFonts w:ascii="Arial" w:cs="Arial" w:eastAsia="Arial" w:hAnsi="Arial"/>
          <w:sz w:val="19"/>
          <w:szCs w:val="19"/>
          <w:color w:val="auto"/>
        </w:rPr>
        <w:t>Technology and operational improvements have allowed Clean Harbors to develop initiatives that minimize our and our customers’ environmental impact. As a leading provider of environmental and industrial services throughout North America, we help prevent the release of chemicals and hazardous waste streams into the environment and recover and decontaminate pollutants that have been released. This includes the safe destruction or disposal of hazardous materials to ensure these materials are no longer a danger to the environment.</w:t>
      </w:r>
    </w:p>
    <w:p>
      <w:pPr>
        <w:spacing w:after="0" w:line="111" w:lineRule="exact"/>
        <w:rPr>
          <w:sz w:val="20"/>
          <w:szCs w:val="20"/>
          <w:color w:val="auto"/>
        </w:rPr>
      </w:pPr>
    </w:p>
    <w:p>
      <w:pPr>
        <w:jc w:val="both"/>
        <w:ind w:right="280" w:firstLine="709"/>
        <w:spacing w:after="0" w:line="308" w:lineRule="auto"/>
        <w:rPr>
          <w:sz w:val="20"/>
          <w:szCs w:val="20"/>
          <w:color w:val="auto"/>
        </w:rPr>
      </w:pPr>
      <w:r>
        <w:rPr>
          <w:rFonts w:ascii="Arial" w:cs="Arial" w:eastAsia="Arial" w:hAnsi="Arial"/>
          <w:sz w:val="16"/>
          <w:szCs w:val="16"/>
          <w:color w:val="auto"/>
        </w:rPr>
        <w:t>With a focus on delivering sustainable solutions to address emerging contaminants and pollutants, a comprehensive third-party study has demonstrated that the Company’s commercial incinerators can safely and thoroughly destroy PFAS in multiple forms. Specifically the study demonstrated that the use of high-temperature combustion destroyed greater than</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99.9999% of PFAS compounds, a level that meets the strict chemical destruction standards for many of the most dangerous and difficult to destroy hazardous wastes. As the prevalence of PFAS and the necessity to mitigate future harm from these “forever chemicals” becomes more widely understood and demand for services to properly handle and dispose of these materials increases, we believe this capability will become a differentiating factor for us. As mentioned, our Total PFAS solutions is a comprehensive program where our team can guide customers through the process of testing, treatment and final disposition and destruction of the PFAS contaminants.</w:t>
      </w:r>
    </w:p>
    <w:p>
      <w:pPr>
        <w:spacing w:after="0" w:line="127" w:lineRule="exact"/>
        <w:rPr>
          <w:sz w:val="20"/>
          <w:szCs w:val="20"/>
          <w:color w:val="auto"/>
        </w:rPr>
      </w:pPr>
    </w:p>
    <w:p>
      <w:pPr>
        <w:ind w:right="200" w:firstLine="709"/>
        <w:spacing w:after="0" w:line="280" w:lineRule="auto"/>
        <w:rPr>
          <w:sz w:val="20"/>
          <w:szCs w:val="20"/>
          <w:color w:val="auto"/>
        </w:rPr>
      </w:pPr>
      <w:r>
        <w:rPr>
          <w:rFonts w:ascii="Arial" w:cs="Arial" w:eastAsia="Arial" w:hAnsi="Arial"/>
          <w:sz w:val="18"/>
          <w:szCs w:val="18"/>
          <w:color w:val="auto"/>
        </w:rPr>
        <w:t>When providing environmental services, we are committed to the recycling, reuse and reclamation of handled waste streams whenever practical using a variety of methods more fully explained in the sections describing our general operations. Many of our branded services exemplify our commitment to sustainability and providing environmental solutions to the marketplace. Where possible, liquids such as solvents, chemicals and used oil are continuously recycled to industry standards and made into useful and sustainable products. Tolling programs provide a closed-loop process in which the customer’s spent solvents are recycled to precise specifications and returned directly to the customer. Across our facilities we look for cost-saving and recycling initiatives to enhance efficiency of our waste-handling systems. For example, our El Dorado, Arkansas, facility now has the capability to recycle and reconstitute polycarbonate containers resulting in producing more than 400,000 recycled plastic containers at the site in 2024. Additionally, we are employing artificial intelligence and route optimization in our service delivery to save on fuel and reduce emissions.</w:t>
      </w:r>
    </w:p>
    <w:p>
      <w:pPr>
        <w:spacing w:after="0" w:line="80" w:lineRule="exact"/>
        <w:rPr>
          <w:sz w:val="20"/>
          <w:szCs w:val="20"/>
          <w:color w:val="auto"/>
        </w:rPr>
      </w:pPr>
    </w:p>
    <w:p>
      <w:pPr>
        <w:ind w:right="60" w:firstLine="709"/>
        <w:spacing w:after="0" w:line="273" w:lineRule="auto"/>
        <w:rPr>
          <w:sz w:val="20"/>
          <w:szCs w:val="20"/>
          <w:color w:val="auto"/>
        </w:rPr>
      </w:pPr>
      <w:r>
        <w:rPr>
          <w:rFonts w:ascii="Arial" w:cs="Arial" w:eastAsia="Arial" w:hAnsi="Arial"/>
          <w:sz w:val="18"/>
          <w:szCs w:val="18"/>
          <w:color w:val="auto"/>
        </w:rPr>
        <w:t>Our Safety-Kleen OilPlus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Program is designed to help companies manage their oil related disposal and consumption needs in a more sustainable way. Environmental regulations prohibit the disposal of oil in sewers or landfills as improper disposal can lead to widespread environmental problems. To avoid the improper disposal of oil, we deploy our fleet of trucks, tankers, rail-cars and barges to collect used oil. In 2024, we gathered more than 253 million gallons of used oil in North America. This used oil is feedstock into our re-refining process which extends the life of crude oil resources. Not only does this outlet reduce the likelihood of improper oil disposal but also it decreases overall energy usage as, per the Department of Energy, it can take less energy to recycle used oil than to create new lubricating oil from virgin crude oil.</w:t>
      </w:r>
    </w:p>
    <w:p>
      <w:pPr>
        <w:spacing w:after="0" w:line="110" w:lineRule="exact"/>
        <w:rPr>
          <w:sz w:val="20"/>
          <w:szCs w:val="20"/>
          <w:color w:val="auto"/>
        </w:rPr>
      </w:pPr>
    </w:p>
    <w:p>
      <w:pPr>
        <w:ind w:firstLine="709"/>
        <w:spacing w:after="0" w:line="266" w:lineRule="auto"/>
        <w:rPr>
          <w:sz w:val="20"/>
          <w:szCs w:val="20"/>
          <w:color w:val="auto"/>
        </w:rPr>
      </w:pPr>
      <w:r>
        <w:rPr>
          <w:rFonts w:ascii="Arial" w:cs="Arial" w:eastAsia="Arial" w:hAnsi="Arial"/>
          <w:sz w:val="19"/>
          <w:szCs w:val="19"/>
          <w:color w:val="auto"/>
        </w:rPr>
        <w:t>Our state-of-the-art re-refining processes enable us to fully realize oil’s remarkable potential to be recycled, re-refined and reused. Our plants have re-refined more than 4.7 billion gallons of used oil, avoiding improper disposal of these gallons and allowing such oils to have a new life as high-quality recycled lubricants. Our Sustainability award-winning KLEEN+ family of re-refined base oil products is designed to help companies manage their oil needs in a more sustainable way with less reliance on virgin crude oil production. With consumers and investors focus on environmental and socially responsible practices, including less reliance on foreign oil products, we expect that the use of KLEEN+ re-refined oil products will contribute to our customers’ ESG efforts.</w:t>
      </w:r>
    </w:p>
    <w:p>
      <w:pPr>
        <w:spacing w:after="0" w:line="117" w:lineRule="exact"/>
        <w:rPr>
          <w:sz w:val="20"/>
          <w:szCs w:val="20"/>
          <w:color w:val="auto"/>
        </w:rPr>
      </w:pPr>
    </w:p>
    <w:p>
      <w:pPr>
        <w:ind w:right="40" w:firstLine="709"/>
        <w:spacing w:after="0" w:line="282" w:lineRule="auto"/>
        <w:rPr>
          <w:sz w:val="20"/>
          <w:szCs w:val="20"/>
          <w:color w:val="auto"/>
        </w:rPr>
      </w:pPr>
      <w:r>
        <w:rPr>
          <w:rFonts w:ascii="Arial" w:cs="Arial" w:eastAsia="Arial" w:hAnsi="Arial"/>
          <w:sz w:val="18"/>
          <w:szCs w:val="18"/>
          <w:color w:val="auto"/>
        </w:rPr>
        <w:t>We continuously strive to improve efficiency and sustainability within our operations through continuous improvements and strategic initiatives. Our assets present significant opportunities to implement environmentally sustainable business practices. Our Asset Refurbishment Program is a comprehensive effort to rebuild key vehicles to “like new” quality while reusing or recycling as much of the original materials as possible. Annually, we aim to replace over 200 older specialized vehicles, such as vacuum trucks, industrial air movers and waste oil trucks, with state-of-the-art refurbished or internally manufactured assets using repurposed parts whenever possible. Employing our field repair and refurbishment program for our parts washers enabled us to repair over 7,000 parts washers in the field in 2024, saving transportation to our refurbishment facility. Parts washers requiring more extensive repairs were returned to our facility, where we reconditioned the majority of</w:t>
      </w:r>
    </w:p>
    <w:p>
      <w:pPr>
        <w:sectPr>
          <w:pgSz w:w="11880" w:h="15480" w:orient="portrait"/>
          <w:cols w:equalWidth="0" w:num="1">
            <w:col w:w="10100"/>
          </w:cols>
          <w:pgMar w:left="880" w:top="575" w:right="900" w:bottom="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880" w:h="15480" w:orient="portrait"/>
          <w:cols w:equalWidth="0" w:num="1">
            <w:col w:w="10100"/>
          </w:cols>
          <w:pgMar w:left="880" w:top="575" w:right="900" w:bottom="0" w:gutter="0" w:footer="0" w:header="0"/>
          <w:type w:val="continuous"/>
        </w:sectPr>
      </w:pPr>
    </w:p>
    <w:bookmarkStart w:id="18" w:name="page19"/>
    <w:bookmarkEnd w:id="18"/>
    <w:p>
      <w:pPr>
        <w:ind w:right="440"/>
        <w:spacing w:after="0" w:line="405" w:lineRule="auto"/>
        <w:rPr>
          <w:sz w:val="20"/>
          <w:szCs w:val="20"/>
          <w:color w:val="auto"/>
        </w:rPr>
      </w:pPr>
      <w:r>
        <w:rPr>
          <w:rFonts w:ascii="Arial" w:cs="Arial" w:eastAsia="Arial" w:hAnsi="Arial"/>
          <w:sz w:val="16"/>
          <w:szCs w:val="16"/>
          <w:color w:val="auto"/>
        </w:rPr>
        <w:t>these machines and salvaged the components from any machines that were beyond reconditioning. These operations at our facility refurbished over 9,000 machines in 2024 and avoided disposal of approximately 430 tons of metals and plastics.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Commitment</w:t>
      </w:r>
    </w:p>
    <w:p>
      <w:pPr>
        <w:spacing w:after="0" w:line="167" w:lineRule="exact"/>
        <w:rPr>
          <w:sz w:val="20"/>
          <w:szCs w:val="20"/>
          <w:color w:val="auto"/>
        </w:rPr>
      </w:pPr>
    </w:p>
    <w:p>
      <w:pPr>
        <w:ind w:right="160" w:firstLine="709"/>
        <w:spacing w:after="0" w:line="282" w:lineRule="auto"/>
        <w:rPr>
          <w:sz w:val="20"/>
          <w:szCs w:val="20"/>
          <w:color w:val="auto"/>
        </w:rPr>
      </w:pPr>
      <w:r>
        <w:rPr>
          <w:rFonts w:ascii="Arial" w:cs="Arial" w:eastAsia="Arial" w:hAnsi="Arial"/>
          <w:sz w:val="18"/>
          <w:szCs w:val="18"/>
          <w:color w:val="auto"/>
        </w:rPr>
        <w:t>One of the Company’s sustainability goals is to contribute to a cleaner environment by maximizing resource conservation across our organization. We continue to evaluate and incorporate solar energy as a viable option for our facilities where possible and have built solar arrays at select sites for their ongoing energy needs. We also continuously seek to better understand the contribution of renewable energies to our collective energy consumption. We estimate that about 20% of our North American electricity consumption is generated by renewable energy sources, including hydroelectric, biomass, wind, solar and geothermal energy. We also work to conserve, recycle and reuse the water necessary for our operations, while providing a range of liquid waste and wastewater treatment alternatives that meet the requirements of projects we manage. Water efficiency, recirculation and reuse are critical to the sustainable operation of our facilities.</w:t>
      </w:r>
    </w:p>
    <w:p>
      <w:pPr>
        <w:spacing w:after="0" w:line="103" w:lineRule="exact"/>
        <w:rPr>
          <w:sz w:val="20"/>
          <w:szCs w:val="20"/>
          <w:color w:val="auto"/>
        </w:rPr>
      </w:pPr>
    </w:p>
    <w:p>
      <w:pPr>
        <w:ind w:right="180" w:firstLine="709"/>
        <w:spacing w:after="0" w:line="237" w:lineRule="auto"/>
        <w:rPr>
          <w:sz w:val="20"/>
          <w:szCs w:val="20"/>
          <w:color w:val="auto"/>
        </w:rPr>
      </w:pPr>
      <w:r>
        <w:rPr>
          <w:rFonts w:ascii="Arial" w:cs="Arial" w:eastAsia="Arial" w:hAnsi="Arial"/>
          <w:sz w:val="20"/>
          <w:szCs w:val="20"/>
          <w:color w:val="auto"/>
        </w:rPr>
        <w:t>Clean Harbors makes fleet energy management a key focus, beginning with ongoing routing reviews by our logistics team to reduce total miles driven. We also evaluate options for reducing fuel costs including routine use of rail and barge transportation, implementation of alternative fuel vehicles and using our Kleen+ and Performance Plus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re-refined engine oils throughout our fleet.</w:t>
      </w:r>
    </w:p>
    <w:p>
      <w:pPr>
        <w:spacing w:after="0" w:line="138" w:lineRule="exact"/>
        <w:rPr>
          <w:sz w:val="20"/>
          <w:szCs w:val="20"/>
          <w:color w:val="auto"/>
        </w:rPr>
      </w:pPr>
    </w:p>
    <w:p>
      <w:pPr>
        <w:ind w:right="60" w:firstLine="709"/>
        <w:spacing w:after="0" w:line="254" w:lineRule="auto"/>
        <w:rPr>
          <w:sz w:val="20"/>
          <w:szCs w:val="20"/>
          <w:color w:val="auto"/>
        </w:rPr>
      </w:pPr>
      <w:r>
        <w:rPr>
          <w:rFonts w:ascii="Arial" w:cs="Arial" w:eastAsia="Arial" w:hAnsi="Arial"/>
          <w:sz w:val="20"/>
          <w:szCs w:val="20"/>
          <w:color w:val="auto"/>
        </w:rPr>
        <w:t>All of these items above exemplify how we, as a company, are working to minimize our footprint on the environment; however, our environmental commitment extends beyond our internal focus to how we can help other companies minimize their environmental footprint and achieve their sustainability goals. The core of our operations is to provide our customers with environmentally responsible solutions, whether they be our commitment to environmentally conscious services and waste disposal or our re-refined oil offerings.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Supply Chain</w:t>
      </w:r>
    </w:p>
    <w:p>
      <w:pPr>
        <w:spacing w:after="0" w:line="167" w:lineRule="exact"/>
        <w:rPr>
          <w:sz w:val="20"/>
          <w:szCs w:val="20"/>
          <w:color w:val="auto"/>
        </w:rPr>
      </w:pPr>
    </w:p>
    <w:p>
      <w:pPr>
        <w:ind w:right="120" w:firstLine="709"/>
        <w:spacing w:after="0" w:line="254" w:lineRule="auto"/>
        <w:rPr>
          <w:sz w:val="20"/>
          <w:szCs w:val="20"/>
          <w:color w:val="auto"/>
        </w:rPr>
      </w:pPr>
      <w:r>
        <w:rPr>
          <w:rFonts w:ascii="Arial" w:cs="Arial" w:eastAsia="Arial" w:hAnsi="Arial"/>
          <w:sz w:val="20"/>
          <w:szCs w:val="20"/>
          <w:color w:val="auto"/>
        </w:rPr>
        <w:t>We believe in holding ourselves to high standards for sustainability and human rights practices and have taken efforts to drive sustainable practices through rigorous supply chain oversight. We monitor for practices that are not in line with our corporate vision and work to drive change. We have established and published our Vendor Code of Business Conduct and Ethics covering treatment of workers, supply chain practices, workplace safety, environmental impact and ethical business practices.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Community Engagement</w:t>
      </w:r>
    </w:p>
    <w:p>
      <w:pPr>
        <w:spacing w:after="0" w:line="167" w:lineRule="exact"/>
        <w:rPr>
          <w:sz w:val="20"/>
          <w:szCs w:val="20"/>
          <w:color w:val="auto"/>
        </w:rPr>
      </w:pPr>
    </w:p>
    <w:p>
      <w:pPr>
        <w:ind w:firstLine="709"/>
        <w:spacing w:after="0" w:line="282" w:lineRule="auto"/>
        <w:rPr>
          <w:sz w:val="20"/>
          <w:szCs w:val="20"/>
          <w:color w:val="auto"/>
        </w:rPr>
      </w:pPr>
      <w:r>
        <w:rPr>
          <w:rFonts w:ascii="Arial" w:cs="Arial" w:eastAsia="Arial" w:hAnsi="Arial"/>
          <w:sz w:val="18"/>
          <w:szCs w:val="18"/>
          <w:color w:val="auto"/>
        </w:rPr>
        <w:t>Clean Harbors prides itself on being an important member of the communities in which we operate, dedicating ourselves to assisting industry customers with safely disposing of their waste and protecting the environment for today and future generations. We understand that the success of our enterprise is intertwined with the prosperity of the communities in which we operate. Our endeavors have spanned collaborative partnerships with local organizations, active involvement in community events and the mobilization of our employees for regional volunteer efforts. One of our most significant programs is our Household Hazardous Waste collection events we hold at our facilities across the country every year. We invite community members to bring their paints, solvents, batteries, fluorescent lamps, pesticides, cleaners and other hazardous materials that otherwise might be improperly disposed of or become dangerous.</w:t>
      </w:r>
    </w:p>
    <w:p>
      <w:pPr>
        <w:spacing w:after="0" w:line="103" w:lineRule="exact"/>
        <w:rPr>
          <w:sz w:val="20"/>
          <w:szCs w:val="20"/>
          <w:color w:val="auto"/>
        </w:rPr>
      </w:pPr>
    </w:p>
    <w:p>
      <w:pPr>
        <w:ind w:right="140" w:firstLine="709"/>
        <w:spacing w:after="0" w:line="261" w:lineRule="auto"/>
        <w:rPr>
          <w:sz w:val="20"/>
          <w:szCs w:val="20"/>
          <w:color w:val="auto"/>
        </w:rPr>
      </w:pPr>
      <w:r>
        <w:rPr>
          <w:rFonts w:ascii="Arial" w:cs="Arial" w:eastAsia="Arial" w:hAnsi="Arial"/>
          <w:sz w:val="20"/>
          <w:szCs w:val="20"/>
          <w:color w:val="auto"/>
        </w:rPr>
        <w:t>Our commitment and our business go hand in hand as we work to provide services and products that complement our customers' sustainability plans and hold ourselves and others accountable to environmental, social and corporate governance standards and best practices.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 Markets</w:t>
      </w:r>
    </w:p>
    <w:p>
      <w:pPr>
        <w:spacing w:after="0" w:line="171" w:lineRule="exact"/>
        <w:rPr>
          <w:sz w:val="20"/>
          <w:szCs w:val="20"/>
          <w:color w:val="auto"/>
        </w:rPr>
      </w:pPr>
    </w:p>
    <w:p>
      <w:pPr>
        <w:ind w:firstLine="709"/>
        <w:spacing w:after="0" w:line="282" w:lineRule="auto"/>
        <w:rPr>
          <w:sz w:val="20"/>
          <w:szCs w:val="20"/>
          <w:color w:val="auto"/>
        </w:rPr>
      </w:pPr>
      <w:r>
        <w:rPr>
          <w:rFonts w:ascii="Arial" w:cs="Arial" w:eastAsia="Arial" w:hAnsi="Arial"/>
          <w:sz w:val="18"/>
          <w:szCs w:val="18"/>
          <w:color w:val="auto"/>
        </w:rPr>
        <w:t>Due to the variety of services and products offered, the Company faces competition from companies in various industries across all lines of business. The Company's breadth of service offerings however has resulted in no one competitor directly competing with our full suite of offerings. Sources of competition vary by locality and by type of service rendered, with competition coming from national and regional industrial and automotive waste services companies and hundreds of privately-owned firms. Veolia North America, Enviri Corporation, Republic Services, Waste Management, Stericycle, Inc. (prior to their acquisition by Waste Management in late 2024), GFL Environmental and the operations of Heritage-Crystal Clean, a portfolio company of J.F. Lehman &amp; Company, were the principal national firms with which we competed in 2024. Each of these competitors is able to provide one or more of the products and services we offer.</w:t>
      </w:r>
    </w:p>
    <w:p>
      <w:pPr>
        <w:spacing w:after="0" w:line="103" w:lineRule="exact"/>
        <w:rPr>
          <w:sz w:val="20"/>
          <w:szCs w:val="20"/>
          <w:color w:val="auto"/>
        </w:rPr>
      </w:pPr>
    </w:p>
    <w:p>
      <w:pPr>
        <w:ind w:right="20" w:firstLine="709"/>
        <w:spacing w:after="0" w:line="340" w:lineRule="auto"/>
        <w:rPr>
          <w:sz w:val="20"/>
          <w:szCs w:val="20"/>
          <w:color w:val="auto"/>
        </w:rPr>
      </w:pPr>
      <w:r>
        <w:rPr>
          <w:rFonts w:ascii="Arial" w:cs="Arial" w:eastAsia="Arial" w:hAnsi="Arial"/>
          <w:sz w:val="16"/>
          <w:szCs w:val="16"/>
          <w:color w:val="auto"/>
        </w:rPr>
        <w:t>Under federal and state environmental laws in the United States, generators of hazardous waste remain liable and responsible for the proper disposal of such waste. Although generators may hire various companies that have the proper permits and licenses, because of the generators' potential liability, they are very interested in the reputation and financial strength of the companies they use for the management of their hazardous waste. We believe that our technical proficiency, safety record,</w:t>
      </w:r>
    </w:p>
    <w:p>
      <w:pPr>
        <w:sectPr>
          <w:pgSz w:w="11880" w:h="15480" w:orient="portrait"/>
          <w:cols w:equalWidth="0" w:num="1">
            <w:col w:w="10100"/>
          </w:cols>
          <w:pgMar w:left="880" w:top="575" w:right="900" w:bottom="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880" w:h="15480" w:orient="portrait"/>
          <w:cols w:equalWidth="0" w:num="1">
            <w:col w:w="10100"/>
          </w:cols>
          <w:pgMar w:left="880" w:top="575" w:right="900" w:bottom="0" w:gutter="0" w:footer="0" w:header="0"/>
          <w:type w:val="continuous"/>
        </w:sectPr>
      </w:pPr>
    </w:p>
    <w:bookmarkStart w:id="19" w:name="page20"/>
    <w:bookmarkEnd w:id="19"/>
    <w:p>
      <w:pPr>
        <w:ind w:right="220"/>
        <w:spacing w:after="0" w:line="256" w:lineRule="auto"/>
        <w:rPr>
          <w:sz w:val="20"/>
          <w:szCs w:val="20"/>
          <w:color w:val="auto"/>
        </w:rPr>
      </w:pPr>
      <w:r>
        <w:rPr>
          <w:rFonts w:ascii="Arial" w:cs="Arial" w:eastAsia="Arial" w:hAnsi="Arial"/>
          <w:sz w:val="20"/>
          <w:szCs w:val="20"/>
          <w:color w:val="auto"/>
        </w:rPr>
        <w:t>customer service oriented culture and overall reputation are important considerations to our customers in selecting and continuing to utilize our services. We also believe that the depth of our recycling, treatment and disposal capabilities, and our ability to collect and transport waste materials efficiently are additional significant differentiating factors that create an advantage for us in the market for treatment and disposal services.</w:t>
      </w:r>
    </w:p>
    <w:p>
      <w:pPr>
        <w:spacing w:after="0" w:line="122" w:lineRule="exact"/>
        <w:rPr>
          <w:sz w:val="20"/>
          <w:szCs w:val="20"/>
          <w:color w:val="auto"/>
        </w:rPr>
      </w:pPr>
    </w:p>
    <w:p>
      <w:pPr>
        <w:ind w:firstLine="709"/>
        <w:spacing w:after="0" w:line="281" w:lineRule="auto"/>
        <w:rPr>
          <w:sz w:val="20"/>
          <w:szCs w:val="20"/>
          <w:color w:val="auto"/>
        </w:rPr>
      </w:pPr>
      <w:r>
        <w:rPr>
          <w:rFonts w:ascii="Arial" w:cs="Arial" w:eastAsia="Arial" w:hAnsi="Arial"/>
          <w:sz w:val="18"/>
          <w:szCs w:val="18"/>
          <w:color w:val="auto"/>
        </w:rPr>
        <w:t>Competition within our Environmental Services segment varies by locality and type of service rendered. For our landfill and waste services, competitors include several major national and regional environmental services firms, as well as numerous smaller local firms. We believe the availability of skilled, technical and professional personnel, quality of performance, diversity of services, safety record, quality of assets and use of current technologies, as well as price, are the key competitive factors in this service industry. For our industrial, field, emergency response and Safety-Kleen branches’ core services, competitors vary by locality and by type of service rendered, with competition coming from national and regional service providers and hundreds of privately-owned firms that offer similar services. Heritage-Crystal Clean in the United States, and CEDA, GFL Environmental Inc. and Secure Energy Services in Canada, are the principal national firms with which we compete for this work. There are also several regional and local firms with which we compete.</w:t>
      </w:r>
    </w:p>
    <w:p>
      <w:pPr>
        <w:spacing w:after="0" w:line="104" w:lineRule="exact"/>
        <w:rPr>
          <w:sz w:val="20"/>
          <w:szCs w:val="20"/>
          <w:color w:val="auto"/>
        </w:rPr>
      </w:pPr>
    </w:p>
    <w:p>
      <w:pPr>
        <w:ind w:right="80" w:firstLine="709"/>
        <w:spacing w:after="0" w:line="270" w:lineRule="auto"/>
        <w:rPr>
          <w:sz w:val="20"/>
          <w:szCs w:val="20"/>
          <w:color w:val="auto"/>
        </w:rPr>
      </w:pPr>
      <w:r>
        <w:rPr>
          <w:rFonts w:ascii="Arial" w:cs="Arial" w:eastAsia="Arial" w:hAnsi="Arial"/>
          <w:sz w:val="18"/>
          <w:szCs w:val="18"/>
          <w:color w:val="auto"/>
        </w:rPr>
        <w:t>For our SKSS segment, competitors vary by locality and by type of services rendered, with competition coming from Heritage-Crystal Clean, along with many regional and local firms. We believe that geographic coverage, pricing and breadth of services and products, including our ability to produce high quality sustainable lubricants from the used motor oil we collect, are key competitive factors in this industry. With our Safety-Kleen Oil Plus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closed loop offering, we are competing in certain markets with other North American lubricant distributors. With our KLEEN+ base oil produced at our re-refineries, we compete against base oil produced at traditional oil refineries such as Motiva Enterprises LLC and Chevron Corporation.</w:t>
      </w:r>
    </w:p>
    <w:p>
      <w:pPr>
        <w:spacing w:after="0" w:line="114" w:lineRule="exact"/>
        <w:rPr>
          <w:sz w:val="20"/>
          <w:szCs w:val="20"/>
          <w:color w:val="auto"/>
        </w:rPr>
      </w:pPr>
    </w:p>
    <w:p>
      <w:pPr>
        <w:ind w:right="80" w:firstLine="709"/>
        <w:spacing w:after="0" w:line="276" w:lineRule="auto"/>
        <w:rPr>
          <w:sz w:val="20"/>
          <w:szCs w:val="20"/>
          <w:color w:val="auto"/>
        </w:rPr>
      </w:pPr>
      <w:r>
        <w:rPr>
          <w:rFonts w:ascii="Arial" w:cs="Arial" w:eastAsia="Arial" w:hAnsi="Arial"/>
          <w:sz w:val="20"/>
          <w:szCs w:val="20"/>
          <w:color w:val="auto"/>
        </w:rPr>
        <w:t>We believe that we offer a more comprehensive range of services and products than our competitors in major portions of the United States and Canada.</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171" w:lineRule="exact"/>
        <w:rPr>
          <w:sz w:val="20"/>
          <w:szCs w:val="20"/>
          <w:color w:val="auto"/>
        </w:rPr>
      </w:pPr>
    </w:p>
    <w:p>
      <w:pPr>
        <w:ind w:right="120" w:firstLine="709"/>
        <w:spacing w:after="0" w:line="256" w:lineRule="auto"/>
        <w:rPr>
          <w:sz w:val="20"/>
          <w:szCs w:val="20"/>
          <w:color w:val="auto"/>
        </w:rPr>
      </w:pPr>
      <w:r>
        <w:rPr>
          <w:rFonts w:ascii="Arial" w:cs="Arial" w:eastAsia="Arial" w:hAnsi="Arial"/>
          <w:sz w:val="20"/>
          <w:szCs w:val="20"/>
          <w:color w:val="auto"/>
        </w:rPr>
        <w:t>As of December 31, 2024, we employed 22,796 active full-time employees, of which 1,632 in the United States and 669 in Canada were represented by labor unions. In response to the needs of our business, we also employ temporary and part-time employees. As of December 31, 2024, the total of all active employees, inclusive of the temporary and part time workforce, was 25,232.</w:t>
      </w:r>
    </w:p>
    <w:p>
      <w:pPr>
        <w:spacing w:after="0" w:line="122" w:lineRule="exact"/>
        <w:rPr>
          <w:sz w:val="20"/>
          <w:szCs w:val="20"/>
          <w:color w:val="auto"/>
        </w:rPr>
      </w:pPr>
    </w:p>
    <w:p>
      <w:pPr>
        <w:ind w:right="240" w:firstLine="709"/>
        <w:spacing w:after="0" w:line="252" w:lineRule="auto"/>
        <w:rPr>
          <w:sz w:val="20"/>
          <w:szCs w:val="20"/>
          <w:color w:val="auto"/>
        </w:rPr>
      </w:pPr>
      <w:r>
        <w:rPr>
          <w:rFonts w:ascii="Arial" w:cs="Arial" w:eastAsia="Arial" w:hAnsi="Arial"/>
          <w:sz w:val="20"/>
          <w:szCs w:val="20"/>
          <w:color w:val="auto"/>
        </w:rPr>
        <w:t>Our human capital objectives prioritize the health and safety of our employees, employee development and training, fair and competitive compensation and benefits and business and hiring practices that support diversity and inclusion. Key metrics that management uses to measure these objectives include TRIR, voluntary turnover rates and certain training and employee engagement metrics, all of which are monitored at all levels of the organization. Our focus on these human capital objectives has resulted in a 250 basis points reduction in our voluntary turnover rate in 2024, reaching the lowest level in the last four years.</w:t>
      </w:r>
    </w:p>
    <w:p>
      <w:pPr>
        <w:spacing w:after="0" w:line="127" w:lineRule="exact"/>
        <w:rPr>
          <w:sz w:val="20"/>
          <w:szCs w:val="20"/>
          <w:color w:val="auto"/>
        </w:rPr>
      </w:pPr>
    </w:p>
    <w:p>
      <w:pPr>
        <w:ind w:right="20" w:firstLine="709"/>
        <w:spacing w:after="0" w:line="264" w:lineRule="auto"/>
        <w:rPr>
          <w:sz w:val="20"/>
          <w:szCs w:val="20"/>
          <w:color w:val="auto"/>
        </w:rPr>
      </w:pPr>
      <w:r>
        <w:rPr>
          <w:rFonts w:ascii="Arial" w:cs="Arial" w:eastAsia="Arial" w:hAnsi="Arial"/>
          <w:sz w:val="19"/>
          <w:szCs w:val="19"/>
          <w:color w:val="auto"/>
        </w:rPr>
        <w:t>We believe that our relationship with our employees is positive and we engage with our employees through periodic employee engagement surveys, and other mechanisms, to continue the development of these relationships. As part of our commitment to employee safety and quality customer service, we have an extensive compliance program and trained environmental, health and safety staff. We continually strive to invest in our employees through training programs, including training specifically aimed at workplace safety and cybersecurity. We provide the training and licensing necessary to maintain a skilled and experienced workforce. Our Company-wide Green Hat program identifies newly hired teammates by their green hats, signaling to more senior teammates to provide extra help, oversight or explanation and also focusing on everyone’s ownership of a safe work environment. We also provide competitive compensation and benefit programs, including matching employee contributions towards certain retirement savings plans and health savings accounts and a newly launched Employee Stock Purchase Program.</w:t>
      </w:r>
    </w:p>
    <w:p>
      <w:pPr>
        <w:spacing w:after="0" w:line="118" w:lineRule="exact"/>
        <w:rPr>
          <w:sz w:val="20"/>
          <w:szCs w:val="20"/>
          <w:color w:val="auto"/>
        </w:rPr>
      </w:pPr>
    </w:p>
    <w:p>
      <w:pPr>
        <w:ind w:right="80" w:firstLine="709"/>
        <w:spacing w:after="0" w:line="289" w:lineRule="auto"/>
        <w:rPr>
          <w:sz w:val="20"/>
          <w:szCs w:val="20"/>
          <w:color w:val="auto"/>
        </w:rPr>
      </w:pPr>
      <w:r>
        <w:rPr>
          <w:rFonts w:ascii="Arial" w:cs="Arial" w:eastAsia="Arial" w:hAnsi="Arial"/>
          <w:sz w:val="18"/>
          <w:szCs w:val="18"/>
          <w:color w:val="auto"/>
        </w:rPr>
        <w:t>We are committed to fundamental human rights principles and we have a comprehensive Human Rights Policy to formalize the standards to which we hold ourselves accountable. Respect is essential to our interactions with employees, customers, shareholders and the public at large. In recognition of our Human Rights Policy and our intrinsic values of diversity and inclusion, we promote equal opportunity and respect in our workplaces. Our seven employee resource groups were developed to encourage belonging, inclusion and collaboration among our employees at Clean Harbors.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Resources</w:t>
      </w:r>
    </w:p>
    <w:p>
      <w:pPr>
        <w:spacing w:after="0" w:line="171" w:lineRule="exact"/>
        <w:rPr>
          <w:sz w:val="20"/>
          <w:szCs w:val="20"/>
          <w:color w:val="auto"/>
        </w:rPr>
      </w:pPr>
    </w:p>
    <w:p>
      <w:pPr>
        <w:ind w:right="40" w:firstLine="709"/>
        <w:spacing w:after="0" w:line="293" w:lineRule="auto"/>
        <w:rPr>
          <w:sz w:val="20"/>
          <w:szCs w:val="20"/>
          <w:color w:val="auto"/>
        </w:rPr>
      </w:pPr>
      <w:r>
        <w:rPr>
          <w:rFonts w:ascii="Arial" w:cs="Arial" w:eastAsia="Arial" w:hAnsi="Arial"/>
          <w:sz w:val="18"/>
          <w:szCs w:val="18"/>
          <w:color w:val="auto"/>
        </w:rPr>
        <w:t>We have invested significantly in the development of proprietary technologies and also to establish and maintain an extensive knowledge of leading technologies, including the incorporation of artificial intelligence platforms and robotic process automation. We incorporate these technologies into the services we offer and provide to our customers to enhance the service quality and value received by our customers, reducing the time to perform and increasing the safety of such services. For</w:t>
      </w:r>
    </w:p>
    <w:p>
      <w:pPr>
        <w:sectPr>
          <w:pgSz w:w="11880" w:h="15480" w:orient="portrait"/>
          <w:cols w:equalWidth="0" w:num="1">
            <w:col w:w="10100"/>
          </w:cols>
          <w:pgMar w:left="880" w:top="575" w:right="900" w:bottom="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880" w:h="15480" w:orient="portrait"/>
          <w:cols w:equalWidth="0" w:num="1">
            <w:col w:w="10100"/>
          </w:cols>
          <w:pgMar w:left="880" w:top="575" w:right="900" w:bottom="0" w:gutter="0" w:footer="0" w:header="0"/>
          <w:type w:val="continuous"/>
        </w:sectPr>
      </w:pPr>
    </w:p>
    <w:bookmarkStart w:id="20" w:name="page21"/>
    <w:bookmarkEnd w:id="20"/>
    <w:p>
      <w:pPr>
        <w:ind w:right="240"/>
        <w:spacing w:after="0" w:line="256" w:lineRule="auto"/>
        <w:rPr>
          <w:sz w:val="20"/>
          <w:szCs w:val="20"/>
          <w:color w:val="auto"/>
        </w:rPr>
      </w:pPr>
      <w:r>
        <w:rPr>
          <w:rFonts w:ascii="Arial" w:cs="Arial" w:eastAsia="Arial" w:hAnsi="Arial"/>
          <w:sz w:val="20"/>
          <w:szCs w:val="20"/>
          <w:color w:val="auto"/>
        </w:rPr>
        <w:t>example, our internally developed proprietary software system, Waste Information Network, not only allows us and our customers to track each step taken by any particular load of waste in our business, but also the technology aids in better burn plans, more safe packaging of materials, and incorporates artificial intelligence to optimize route efficiency and handle waste efficiently and safely.</w:t>
      </w:r>
    </w:p>
    <w:p>
      <w:pPr>
        <w:spacing w:after="0" w:line="83" w:lineRule="exact"/>
        <w:rPr>
          <w:sz w:val="20"/>
          <w:szCs w:val="20"/>
          <w:color w:val="auto"/>
        </w:rPr>
      </w:pPr>
    </w:p>
    <w:p>
      <w:pPr>
        <w:ind w:right="40" w:firstLine="709"/>
        <w:spacing w:after="0" w:line="266" w:lineRule="auto"/>
        <w:rPr>
          <w:sz w:val="20"/>
          <w:szCs w:val="20"/>
          <w:color w:val="auto"/>
        </w:rPr>
      </w:pPr>
      <w:r>
        <w:rPr>
          <w:rFonts w:ascii="Arial" w:cs="Arial" w:eastAsia="Arial" w:hAnsi="Arial"/>
          <w:sz w:val="19"/>
          <w:szCs w:val="19"/>
          <w:color w:val="auto"/>
        </w:rPr>
        <w:t>As of December 31, 2024, we held a total of 45 U.S. and 16 foreign issued or granted patents (which will expire between 2025 and 2042), four U.S. and three foreign pending patent applications, 98 U.S. and 70 foreign trademark registrations, three U.S. pending trademark registrations and four foreign trademark registrations. We also license software and other intellectual property from various third-parties. We enter into confidentiality agreements with certain of our employees, consultants and corporate partners, and control access to software documentation and other proprietary information. We believe that we hold adequate rights to all intellectual property used in our business and that we do not infringe upon any intellectual property rights held by other parties.</w:t>
      </w:r>
    </w:p>
    <w:p>
      <w:pPr>
        <w:spacing w:after="0" w:line="78" w:lineRule="exact"/>
        <w:rPr>
          <w:sz w:val="20"/>
          <w:szCs w:val="20"/>
          <w:color w:val="auto"/>
        </w:rPr>
      </w:pPr>
    </w:p>
    <w:p>
      <w:pPr>
        <w:ind w:right="60" w:firstLine="709"/>
        <w:spacing w:after="0" w:line="293" w:lineRule="auto"/>
        <w:rPr>
          <w:sz w:val="20"/>
          <w:szCs w:val="20"/>
          <w:color w:val="auto"/>
        </w:rPr>
      </w:pPr>
      <w:r>
        <w:rPr>
          <w:rFonts w:ascii="Arial" w:cs="Arial" w:eastAsia="Arial" w:hAnsi="Arial"/>
          <w:sz w:val="18"/>
          <w:szCs w:val="18"/>
          <w:color w:val="auto"/>
        </w:rPr>
        <w:t>We must obtain and maintain permits and licenses for transportation and industrial needs throughout our business. We are required to obtain federal, state, provincial and local permits or approvals for each of our hazardous waste facilities. Such permits are difficult to obtain and, in many instances, extensive studies, tests and public hearings are required before the approvals can be issued. Our compliance programs are paramount in maintaining these permits and licenses.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of Risks</w:t>
      </w:r>
    </w:p>
    <w:p>
      <w:pPr>
        <w:spacing w:after="0" w:line="171" w:lineRule="exact"/>
        <w:rPr>
          <w:sz w:val="20"/>
          <w:szCs w:val="20"/>
          <w:color w:val="auto"/>
        </w:rPr>
      </w:pPr>
    </w:p>
    <w:p>
      <w:pPr>
        <w:ind w:right="80" w:firstLine="709"/>
        <w:spacing w:after="0" w:line="340" w:lineRule="auto"/>
        <w:rPr>
          <w:sz w:val="20"/>
          <w:szCs w:val="20"/>
          <w:color w:val="auto"/>
        </w:rPr>
      </w:pPr>
      <w:r>
        <w:rPr>
          <w:rFonts w:ascii="Arial" w:cs="Arial" w:eastAsia="Arial" w:hAnsi="Arial"/>
          <w:sz w:val="16"/>
          <w:szCs w:val="16"/>
          <w:color w:val="auto"/>
        </w:rPr>
        <w:t>We adhere to a program of risk management policies and practices designed to reduce potential liability, as well as to manage customers' ongoing environmental exposures. This program includes installation of risk management systems at our facilities, such as fire suppression, employee training, environmental consciousness, auditing and policy decisions restricting the types of waste handled. We evaluate all revenue opportunities and decline those that we believe involve unacceptable risks.</w:t>
      </w:r>
    </w:p>
    <w:p>
      <w:pPr>
        <w:spacing w:after="0" w:line="21" w:lineRule="exact"/>
        <w:rPr>
          <w:sz w:val="20"/>
          <w:szCs w:val="20"/>
          <w:color w:val="auto"/>
        </w:rPr>
      </w:pPr>
    </w:p>
    <w:p>
      <w:pPr>
        <w:ind w:right="80" w:firstLine="709"/>
        <w:spacing w:after="0" w:line="256" w:lineRule="auto"/>
        <w:rPr>
          <w:sz w:val="20"/>
          <w:szCs w:val="20"/>
          <w:color w:val="auto"/>
        </w:rPr>
      </w:pPr>
      <w:r>
        <w:rPr>
          <w:rFonts w:ascii="Arial" w:cs="Arial" w:eastAsia="Arial" w:hAnsi="Arial"/>
          <w:sz w:val="20"/>
          <w:szCs w:val="20"/>
          <w:color w:val="auto"/>
        </w:rPr>
        <w:t>We dispose of waste at our incinerator, wastewater treatment and landfill facilities, or at facilities owned and operated by other firms that we have audited and approved. We apply established technologies to treatment, storage and recovery of hazardous waste. We believe our operations are conducted in a safe and prudent manner and in substantial compliance with applicable laws and regulations.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Insurance and Financial Assurance</w:t>
      </w:r>
    </w:p>
    <w:p>
      <w:pPr>
        <w:spacing w:after="0" w:line="171" w:lineRule="exact"/>
        <w:rPr>
          <w:sz w:val="20"/>
          <w:szCs w:val="20"/>
          <w:color w:val="auto"/>
        </w:rPr>
      </w:pPr>
    </w:p>
    <w:p>
      <w:pPr>
        <w:ind w:firstLine="709"/>
        <w:spacing w:after="0" w:line="251" w:lineRule="auto"/>
        <w:rPr>
          <w:sz w:val="20"/>
          <w:szCs w:val="20"/>
          <w:color w:val="auto"/>
        </w:rPr>
      </w:pPr>
      <w:r>
        <w:rPr>
          <w:rFonts w:ascii="Arial" w:cs="Arial" w:eastAsia="Arial" w:hAnsi="Arial"/>
          <w:sz w:val="20"/>
          <w:szCs w:val="20"/>
          <w:color w:val="auto"/>
        </w:rPr>
        <w:t>Our insurance programs cover the potential risks associated with our multifaceted operations from two primary exposures: direct physical damage and third-party liability. We maintain a casualty insurance program which provides coverage for vehicles, employer's liability and commercial general liability in the aggregate amount of $105.0 million, $102.0 million and $102.0 million, respectively, per year, subject to retentions of $1.0 million for employers' liability in the United States, $2.0 million per occurrence for auto and commercial general liability in the United States and $2.0 million (CAD) per occurrence for employer's liability, auto and commercial general liability in Canada. We also have workers' compensation insurance with limits established by state statutes.</w:t>
      </w:r>
    </w:p>
    <w:p>
      <w:pPr>
        <w:spacing w:after="0" w:line="129" w:lineRule="exact"/>
        <w:rPr>
          <w:sz w:val="20"/>
          <w:szCs w:val="20"/>
          <w:color w:val="auto"/>
        </w:rPr>
      </w:pPr>
    </w:p>
    <w:p>
      <w:pPr>
        <w:jc w:val="both"/>
        <w:ind w:right="500" w:firstLine="709"/>
        <w:spacing w:after="0" w:line="256" w:lineRule="auto"/>
        <w:rPr>
          <w:sz w:val="20"/>
          <w:szCs w:val="20"/>
          <w:color w:val="auto"/>
        </w:rPr>
      </w:pPr>
      <w:r>
        <w:rPr>
          <w:rFonts w:ascii="Arial" w:cs="Arial" w:eastAsia="Arial" w:hAnsi="Arial"/>
          <w:sz w:val="20"/>
          <w:szCs w:val="20"/>
          <w:color w:val="auto"/>
        </w:rPr>
        <w:t>We have pollution liability insurance policies covering potential risks in three areas: as a contractor performing services at customer sites, as a transporter of waste and as a processor of waste at our facilities. The contractor's pollution liability insurance has limits of $30.0 million per occurrence and $30.0 million in the aggregate, covering offsite remedial activities and associated liabilities.</w:t>
      </w:r>
    </w:p>
    <w:p>
      <w:pPr>
        <w:spacing w:after="0" w:line="122" w:lineRule="exact"/>
        <w:rPr>
          <w:sz w:val="20"/>
          <w:szCs w:val="20"/>
          <w:color w:val="auto"/>
        </w:rPr>
      </w:pPr>
    </w:p>
    <w:p>
      <w:pPr>
        <w:ind w:right="180" w:firstLine="709"/>
        <w:spacing w:after="0" w:line="293" w:lineRule="auto"/>
        <w:rPr>
          <w:sz w:val="20"/>
          <w:szCs w:val="20"/>
          <w:color w:val="auto"/>
        </w:rPr>
      </w:pPr>
      <w:r>
        <w:rPr>
          <w:rFonts w:ascii="Arial" w:cs="Arial" w:eastAsia="Arial" w:hAnsi="Arial"/>
          <w:sz w:val="18"/>
          <w:szCs w:val="18"/>
          <w:color w:val="auto"/>
        </w:rPr>
        <w:t>For sudden and accidental in-transit pollution liability, our auto liability policy provides the primary $5.0 million per occurrence of transportation pollution insurance. Our pollution liability policies provide an additional $85.0 million per occurrence and $85.0 million in the aggregate for a total of $90.0 million per occurrence and $90.0 million in the aggregate, respectively. A $2.0 million deductible per occurrence applies to this coverage in the United States and Canada.</w:t>
      </w:r>
    </w:p>
    <w:p>
      <w:pPr>
        <w:spacing w:after="0" w:line="92" w:lineRule="exact"/>
        <w:rPr>
          <w:sz w:val="20"/>
          <w:szCs w:val="20"/>
          <w:color w:val="auto"/>
        </w:rPr>
      </w:pPr>
    </w:p>
    <w:p>
      <w:pPr>
        <w:ind w:left="720"/>
        <w:spacing w:after="0"/>
        <w:rPr>
          <w:sz w:val="20"/>
          <w:szCs w:val="20"/>
          <w:color w:val="auto"/>
        </w:rPr>
      </w:pPr>
      <w:r>
        <w:rPr>
          <w:rFonts w:ascii="Arial" w:cs="Arial" w:eastAsia="Arial" w:hAnsi="Arial"/>
          <w:sz w:val="19"/>
          <w:szCs w:val="19"/>
          <w:color w:val="auto"/>
        </w:rPr>
        <w:t>Federal and state regulations require liability insurance coverage for all facilities that treat, store or dispose of</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hazardous waste. RCRA, the Toxic Substances Control Act and comparable state hazardous waste regulations typically require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hazardous waste handling facilities to maintain pollution liability insurance in the amount of $1.0 million per occurrence 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$2.0 million in the aggregate for sudden occurrences and $3.0 million per occurrence and $6.0 million in the aggregate for non-</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sudden occurrences. Our liability insurance coverage meets or exceeds all federal and state regulations.</w:t>
      </w:r>
    </w:p>
    <w:p>
      <w:pPr>
        <w:spacing w:after="0" w:line="164" w:lineRule="exact"/>
        <w:rPr>
          <w:sz w:val="20"/>
          <w:szCs w:val="20"/>
          <w:color w:val="auto"/>
        </w:rPr>
      </w:pPr>
    </w:p>
    <w:p>
      <w:pPr>
        <w:ind w:firstLine="709"/>
        <w:spacing w:after="0" w:line="261" w:lineRule="auto"/>
        <w:rPr>
          <w:sz w:val="20"/>
          <w:szCs w:val="20"/>
          <w:color w:val="auto"/>
        </w:rPr>
      </w:pPr>
      <w:r>
        <w:rPr>
          <w:rFonts w:ascii="Arial" w:cs="Arial" w:eastAsia="Arial" w:hAnsi="Arial"/>
          <w:sz w:val="20"/>
          <w:szCs w:val="20"/>
          <w:color w:val="auto"/>
        </w:rPr>
        <w:t>We maintain property insurance for our physical locations valued in excess of $10.0 million covering direct physical damage. We consolidated the insurance on these locations and this policy has a $10.0 million aggregate deductible. We are self-insured for locations not specifically listed on this policy.</w:t>
      </w:r>
    </w:p>
    <w:p>
      <w:pPr>
        <w:spacing w:after="0" w:line="116" w:lineRule="exact"/>
        <w:rPr>
          <w:sz w:val="20"/>
          <w:szCs w:val="20"/>
          <w:color w:val="auto"/>
        </w:rPr>
      </w:pPr>
    </w:p>
    <w:p>
      <w:pPr>
        <w:ind w:right="240" w:firstLine="709"/>
        <w:spacing w:after="0" w:line="261" w:lineRule="auto"/>
        <w:rPr>
          <w:sz w:val="20"/>
          <w:szCs w:val="20"/>
          <w:color w:val="auto"/>
        </w:rPr>
      </w:pPr>
      <w:r>
        <w:rPr>
          <w:rFonts w:ascii="Arial" w:cs="Arial" w:eastAsia="Arial" w:hAnsi="Arial"/>
          <w:sz w:val="20"/>
          <w:szCs w:val="20"/>
          <w:color w:val="auto"/>
        </w:rPr>
        <w:t>Our international operations are insured under locally placed insurance policies that are compulsory in a specific country. In addition, we have a global foreign liability policy that will provide excess and difference in condition coverage in international countries.</w:t>
      </w:r>
    </w:p>
    <w:p>
      <w:pPr>
        <w:sectPr>
          <w:pgSz w:w="11880" w:h="15480" w:orient="portrait"/>
          <w:cols w:equalWidth="0" w:num="1">
            <w:col w:w="10100"/>
          </w:cols>
          <w:pgMar w:left="880" w:top="575" w:right="90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880" w:h="15480" w:orient="portrait"/>
          <w:cols w:equalWidth="0" w:num="1">
            <w:col w:w="10100"/>
          </w:cols>
          <w:pgMar w:left="880" w:top="575" w:right="900" w:bottom="0" w:gutter="0" w:footer="0" w:header="0"/>
          <w:type w:val="continuous"/>
        </w:sectPr>
      </w:pPr>
    </w:p>
    <w:bookmarkStart w:id="21" w:name="page22"/>
    <w:bookmarkEnd w:id="21"/>
    <w:p>
      <w:pPr>
        <w:ind w:right="120" w:firstLine="709"/>
        <w:spacing w:after="0" w:line="303" w:lineRule="auto"/>
        <w:rPr>
          <w:sz w:val="20"/>
          <w:szCs w:val="20"/>
          <w:color w:val="auto"/>
        </w:rPr>
      </w:pPr>
      <w:r>
        <w:rPr>
          <w:rFonts w:ascii="Arial" w:cs="Arial" w:eastAsia="Arial" w:hAnsi="Arial"/>
          <w:sz w:val="18"/>
          <w:szCs w:val="18"/>
          <w:color w:val="auto"/>
        </w:rPr>
        <w:t>It is our practice to retain a portion of certain expected losses related primarily to workers' compensation, commercial general and vehicle liability and certain employee benefits. Provisions for losses expected under these programs are recorded based upon our estimates of the actuarially determined value of the aggregate liability for claims.</w:t>
      </w:r>
    </w:p>
    <w:p>
      <w:pPr>
        <w:spacing w:after="0" w:line="83" w:lineRule="exact"/>
        <w:rPr>
          <w:sz w:val="20"/>
          <w:szCs w:val="20"/>
          <w:color w:val="auto"/>
        </w:rPr>
      </w:pPr>
    </w:p>
    <w:p>
      <w:pPr>
        <w:ind w:right="120" w:firstLine="709"/>
        <w:spacing w:after="0" w:line="268" w:lineRule="auto"/>
        <w:rPr>
          <w:sz w:val="20"/>
          <w:szCs w:val="20"/>
          <w:color w:val="auto"/>
        </w:rPr>
      </w:pPr>
      <w:r>
        <w:rPr>
          <w:rFonts w:ascii="Arial" w:cs="Arial" w:eastAsia="Arial" w:hAnsi="Arial"/>
          <w:sz w:val="19"/>
          <w:szCs w:val="19"/>
          <w:color w:val="auto"/>
        </w:rPr>
        <w:t>Operators of hazardous waste handling and certain other permitted facilities are required by federal, state, provincial and local regulations to provide financial assurance for closure and post-closure care of those facilities should the facilities cease operation. Closure would include the cost of removing the waste stored at a facility which ceased operating and sending the material to another facility for disposal and the cost of performing certain procedures for decontamination of the facility. We have obtained all of the required financial assurance for our facilities through a combination of surety bonds and insurance from qualified insurance companies.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Regulations</w:t>
      </w:r>
    </w:p>
    <w:p>
      <w:pPr>
        <w:spacing w:after="0" w:line="171" w:lineRule="exact"/>
        <w:rPr>
          <w:sz w:val="20"/>
          <w:szCs w:val="20"/>
          <w:color w:val="auto"/>
        </w:rPr>
      </w:pPr>
    </w:p>
    <w:p>
      <w:pPr>
        <w:ind w:right="60" w:firstLine="709"/>
        <w:spacing w:after="0" w:line="266" w:lineRule="auto"/>
        <w:rPr>
          <w:sz w:val="20"/>
          <w:szCs w:val="20"/>
          <w:color w:val="auto"/>
        </w:rPr>
      </w:pPr>
      <w:r>
        <w:rPr>
          <w:rFonts w:ascii="Arial" w:cs="Arial" w:eastAsia="Arial" w:hAnsi="Arial"/>
          <w:sz w:val="19"/>
          <w:szCs w:val="19"/>
          <w:color w:val="auto"/>
        </w:rPr>
        <w:t>Our business is subject to extensive and evolving federal, state, provincial and local environmental, health, safety and transportation laws and regulations. While our business has historically benefited from increased government regulation of hazardous waste transportation, storage and disposal, the environmental services industry itself is the subject of extensive and evolving regulation by federal, state, provincial and local authorities. Increasing regulations may have a negative impact on our operating costs; however, extensive environmental regulation applicable to our industry and operations is a barrier to rapid entry that benefits the Company. Additionally, the impacts of regulations on our customers further enhance the value of the disposal and environmental services we can provide.</w:t>
      </w:r>
    </w:p>
    <w:p>
      <w:pPr>
        <w:spacing w:after="0" w:line="117" w:lineRule="exact"/>
        <w:rPr>
          <w:sz w:val="20"/>
          <w:szCs w:val="20"/>
          <w:color w:val="auto"/>
        </w:rPr>
      </w:pPr>
    </w:p>
    <w:p>
      <w:pPr>
        <w:ind w:right="80" w:firstLine="758"/>
        <w:spacing w:after="0" w:line="254" w:lineRule="auto"/>
        <w:rPr>
          <w:sz w:val="20"/>
          <w:szCs w:val="20"/>
          <w:color w:val="auto"/>
        </w:rPr>
      </w:pPr>
      <w:r>
        <w:rPr>
          <w:rFonts w:ascii="Arial" w:cs="Arial" w:eastAsia="Arial" w:hAnsi="Arial"/>
          <w:sz w:val="20"/>
          <w:szCs w:val="20"/>
          <w:color w:val="auto"/>
        </w:rPr>
        <w:t>We are required to obtain federal, state, provincial and local permits or approvals for each of our hazardous waste facilities. We have acquired all material operating permits and approvals now required for the current operation of our business and have applied for, or are in the process of applying for, all permits and approvals needed in connection with planned expansion or modifications of our operations. We continue to monitor and comply with the requirements of our permits and these regulations.</w:t>
      </w:r>
    </w:p>
    <w:p>
      <w:pPr>
        <w:spacing w:after="0" w:line="123" w:lineRule="exact"/>
        <w:rPr>
          <w:sz w:val="20"/>
          <w:szCs w:val="20"/>
          <w:color w:val="auto"/>
        </w:rPr>
      </w:pPr>
    </w:p>
    <w:p>
      <w:pPr>
        <w:ind w:right="20" w:firstLine="758"/>
        <w:spacing w:after="0" w:line="256" w:lineRule="auto"/>
        <w:rPr>
          <w:sz w:val="20"/>
          <w:szCs w:val="20"/>
          <w:color w:val="auto"/>
        </w:rPr>
      </w:pPr>
      <w:r>
        <w:rPr>
          <w:rFonts w:ascii="Arial" w:cs="Arial" w:eastAsia="Arial" w:hAnsi="Arial"/>
          <w:sz w:val="20"/>
          <w:szCs w:val="20"/>
          <w:color w:val="auto"/>
        </w:rPr>
        <w:t>We are constantly monitoring the regulatory environment, which is often influenced by leadership at the federal, state, provincial and local levels. We make a continuing effort to anticipate regulatory, political and legal developments that might affect operations, but are not always able to do so. We cannot predict the extent to which any legislation or regulation that may be enacted or enforced in the future may affect our operations.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States Hazardous Waste Regulation</w:t>
      </w:r>
    </w:p>
    <w:p>
      <w:pPr>
        <w:spacing w:after="0" w:line="168" w:lineRule="exact"/>
        <w:rPr>
          <w:sz w:val="20"/>
          <w:szCs w:val="20"/>
          <w:color w:val="auto"/>
        </w:rPr>
      </w:pPr>
    </w:p>
    <w:p>
      <w:pPr>
        <w:jc w:val="both"/>
        <w:ind w:right="240" w:firstLine="709"/>
        <w:spacing w:after="0" w:line="263" w:lineRule="auto"/>
        <w:rPr>
          <w:sz w:val="20"/>
          <w:szCs w:val="20"/>
          <w:color w:val="auto"/>
        </w:rPr>
      </w:pPr>
      <w:r>
        <w:rPr>
          <w:rFonts w:ascii="Arial" w:cs="Arial" w:eastAsia="Arial" w:hAnsi="Arial"/>
          <w:sz w:val="20"/>
          <w:szCs w:val="20"/>
          <w:b w:val="1"/>
          <w:bCs w:val="1"/>
          <w:i w:val="1"/>
          <w:iCs w:val="1"/>
          <w:color w:val="auto"/>
        </w:rPr>
        <w:t xml:space="preserve">Federal Regulations. </w:t>
      </w:r>
      <w:r>
        <w:rPr>
          <w:rFonts w:ascii="Arial" w:cs="Arial" w:eastAsia="Arial" w:hAnsi="Arial"/>
          <w:sz w:val="20"/>
          <w:szCs w:val="20"/>
          <w:color w:val="auto"/>
        </w:rPr>
        <w:t>The most significant federal environmental laws affecting us are RCRA, the Comprehensive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Environmental Response, Compensation and Liability Act, also known as the “Superfund Act,” the Clean Air Act, the Clean Water Act and the Toxic Substances Control Act (“TSCA”).</w:t>
      </w:r>
    </w:p>
    <w:p>
      <w:pPr>
        <w:spacing w:after="0" w:line="111" w:lineRule="exact"/>
        <w:rPr>
          <w:sz w:val="20"/>
          <w:szCs w:val="20"/>
          <w:color w:val="auto"/>
        </w:rPr>
      </w:pPr>
    </w:p>
    <w:p>
      <w:pPr>
        <w:ind w:right="80" w:firstLine="709"/>
        <w:spacing w:after="0" w:line="271" w:lineRule="auto"/>
        <w:rPr>
          <w:sz w:val="20"/>
          <w:szCs w:val="20"/>
          <w:color w:val="auto"/>
        </w:rPr>
      </w:pPr>
      <w:r>
        <w:rPr>
          <w:rFonts w:ascii="Arial" w:cs="Arial" w:eastAsia="Arial" w:hAnsi="Arial"/>
          <w:sz w:val="19"/>
          <w:szCs w:val="19"/>
          <w:b w:val="1"/>
          <w:bCs w:val="1"/>
          <w:i w:val="1"/>
          <w:iCs w:val="1"/>
          <w:color w:val="auto"/>
        </w:rPr>
        <w:t xml:space="preserve">RCRA. </w:t>
      </w:r>
      <w:r>
        <w:rPr>
          <w:rFonts w:ascii="Arial" w:cs="Arial" w:eastAsia="Arial" w:hAnsi="Arial"/>
          <w:sz w:val="19"/>
          <w:szCs w:val="19"/>
          <w:color w:val="auto"/>
        </w:rPr>
        <w:t>RCRA is the principal federal statute governing hazardous waste generation, treatment, transportation,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storage and disposal. Pursuant to RCRA, the EPA has established a comprehensive “cradle-to-grave” system for the management of a wide range of materials identified as hazardous waste. States that have adopted hazardous waste management programs with standards at least as stringent as those promulgated by the EPA have been delegated authority by the EPA to administer their facility permitting programs in lieu of the EPA's program.</w:t>
      </w:r>
    </w:p>
    <w:p>
      <w:pPr>
        <w:spacing w:after="0" w:line="109" w:lineRule="exact"/>
        <w:rPr>
          <w:sz w:val="20"/>
          <w:szCs w:val="20"/>
          <w:color w:val="auto"/>
        </w:rPr>
      </w:pPr>
    </w:p>
    <w:p>
      <w:pPr>
        <w:ind w:firstLine="709"/>
        <w:spacing w:after="0" w:line="266" w:lineRule="auto"/>
        <w:rPr>
          <w:sz w:val="20"/>
          <w:szCs w:val="20"/>
          <w:color w:val="auto"/>
        </w:rPr>
      </w:pPr>
      <w:r>
        <w:rPr>
          <w:rFonts w:ascii="Arial" w:cs="Arial" w:eastAsia="Arial" w:hAnsi="Arial"/>
          <w:sz w:val="19"/>
          <w:szCs w:val="19"/>
          <w:color w:val="auto"/>
        </w:rPr>
        <w:t>Every facility that treats, stores or disposes of hazardous waste must obtain a RCRA permit from the EPA or an authorized state agency unless a specific exemption exists, and must comply with certain operating requirements (“Part B” permitting process). RCRA also requires that Part B permits contain provisions for required on-site study and cleanup activities, known as "corrective action," including detailed compliance schedules and provisions for assurance of financial responsibility. See Note 10, “Closure and Post-Closure Liabilities,” and Note 11, “Remedial Liabilities,” to our consolidated financial statements included in Item 8 of this report for a discussion of our environmental liabilities. See “Insurance and Financial Assurance” above for a discussion of our financial assurance requirements.</w:t>
      </w:r>
    </w:p>
    <w:p>
      <w:pPr>
        <w:spacing w:after="0" w:line="114" w:lineRule="exact"/>
        <w:rPr>
          <w:sz w:val="20"/>
          <w:szCs w:val="20"/>
          <w:color w:val="auto"/>
        </w:rPr>
      </w:pPr>
    </w:p>
    <w:p>
      <w:pPr>
        <w:ind w:right="140" w:firstLine="709"/>
        <w:spacing w:after="0" w:line="281" w:lineRule="auto"/>
        <w:rPr>
          <w:sz w:val="20"/>
          <w:szCs w:val="20"/>
          <w:color w:val="auto"/>
        </w:rPr>
      </w:pPr>
      <w:r>
        <w:rPr>
          <w:rFonts w:ascii="Arial" w:cs="Arial" w:eastAsia="Arial" w:hAnsi="Arial"/>
          <w:sz w:val="18"/>
          <w:szCs w:val="18"/>
          <w:b w:val="1"/>
          <w:bCs w:val="1"/>
          <w:i w:val="1"/>
          <w:iCs w:val="1"/>
          <w:color w:val="auto"/>
        </w:rPr>
        <w:t xml:space="preserve">The Superfund Act. </w:t>
      </w:r>
      <w:r>
        <w:rPr>
          <w:rFonts w:ascii="Arial" w:cs="Arial" w:eastAsia="Arial" w:hAnsi="Arial"/>
          <w:sz w:val="18"/>
          <w:szCs w:val="18"/>
          <w:color w:val="auto"/>
        </w:rPr>
        <w:t>The Superfund Act is the primary federal statute regulating the cleanup of inactive hazardous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substance sites and imposing liability for cleanup on the responsible parties. It provides for immediate EPA coordinated response and removal actions for hazardous substances released into the environment. It also authorizes the government to respond to the release or threatened release of hazardous substances or to order responsible persons to perform any necessary cleanup. The statute provides for strict and, in certain cases, joint and several liability to the parties involved in the generation, transportation and disposal of hazardous substances for the cost of these responses and for the cost of damages to natural resources. Under the statute, we may be deemed liable as a generator or transporter of a hazardous substance which is released into the environment, or as the owner or operator of a facility from which there is a release of a hazardous substance into the environment. See Note 18, “Commitments and Contingencies,” to our consolidated financial statements included in Item 8 of this report for a description of the principal such proceedings in which we are now involved.</w:t>
      </w:r>
    </w:p>
    <w:p>
      <w:pPr>
        <w:sectPr>
          <w:pgSz w:w="11880" w:h="15480" w:orient="portrait"/>
          <w:cols w:equalWidth="0" w:num="1">
            <w:col w:w="10100"/>
          </w:cols>
          <w:pgMar w:left="880" w:top="575" w:right="900" w:bottom="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880" w:h="15480" w:orient="portrait"/>
          <w:cols w:equalWidth="0" w:num="1">
            <w:col w:w="10100"/>
          </w:cols>
          <w:pgMar w:left="880" w:top="575" w:right="900" w:bottom="0" w:gutter="0" w:footer="0" w:header="0"/>
          <w:type w:val="continuous"/>
        </w:sectPr>
      </w:pPr>
    </w:p>
    <w:bookmarkStart w:id="22" w:name="page23"/>
    <w:bookmarkEnd w:id="22"/>
    <w:p>
      <w:pPr>
        <w:ind w:right="100" w:firstLine="709"/>
        <w:spacing w:after="0" w:line="267" w:lineRule="auto"/>
        <w:rPr>
          <w:sz w:val="20"/>
          <w:szCs w:val="20"/>
          <w:color w:val="auto"/>
        </w:rPr>
      </w:pPr>
      <w:r>
        <w:rPr>
          <w:rFonts w:ascii="Arial" w:cs="Arial" w:eastAsia="Arial" w:hAnsi="Arial"/>
          <w:sz w:val="19"/>
          <w:szCs w:val="19"/>
          <w:b w:val="1"/>
          <w:bCs w:val="1"/>
          <w:i w:val="1"/>
          <w:iCs w:val="1"/>
          <w:color w:val="auto"/>
        </w:rPr>
        <w:t xml:space="preserve">The Clean Air Act. </w:t>
      </w:r>
      <w:r>
        <w:rPr>
          <w:rFonts w:ascii="Arial" w:cs="Arial" w:eastAsia="Arial" w:hAnsi="Arial"/>
          <w:sz w:val="19"/>
          <w:szCs w:val="19"/>
          <w:color w:val="auto"/>
        </w:rPr>
        <w:t>The Clean Air Act was passed by Congress to control the emissions of pollutants into the air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requires permits to be obtained for certain sources of hazardous air pollutants, such as vinyl chloride or air criteria pollutants, such as carbon monoxide. In 1990, Congress amended the Clean Air Act to require further reductions of air pollutants with specific targets for non-attainment areas in order to meet certain ambient air quality standards. These amendments also require the EPA to promulgate regulations which (i) control emissions of 188 hazardous air pollutants; (ii) create uniform operating permits for major industrial facilities similar to RCRA operating permits; (iii) mandate the phase-out of ozone depleting chemicals; and (iv) provide for enhanced enforcement.</w:t>
      </w:r>
    </w:p>
    <w:p>
      <w:pPr>
        <w:spacing w:after="0" w:line="111" w:lineRule="exact"/>
        <w:rPr>
          <w:sz w:val="20"/>
          <w:szCs w:val="20"/>
          <w:color w:val="auto"/>
        </w:rPr>
      </w:pPr>
    </w:p>
    <w:p>
      <w:pPr>
        <w:ind w:right="40" w:firstLine="709"/>
        <w:spacing w:after="0" w:line="267" w:lineRule="auto"/>
        <w:rPr>
          <w:sz w:val="20"/>
          <w:szCs w:val="20"/>
          <w:color w:val="auto"/>
        </w:rPr>
      </w:pPr>
      <w:r>
        <w:rPr>
          <w:rFonts w:ascii="Arial" w:cs="Arial" w:eastAsia="Arial" w:hAnsi="Arial"/>
          <w:sz w:val="19"/>
          <w:szCs w:val="19"/>
          <w:b w:val="1"/>
          <w:bCs w:val="1"/>
          <w:i w:val="1"/>
          <w:iCs w:val="1"/>
          <w:color w:val="auto"/>
        </w:rPr>
        <w:t xml:space="preserve">The Clean Water Act. </w:t>
      </w:r>
      <w:r>
        <w:rPr>
          <w:rFonts w:ascii="Arial" w:cs="Arial" w:eastAsia="Arial" w:hAnsi="Arial"/>
          <w:sz w:val="19"/>
          <w:szCs w:val="19"/>
          <w:color w:val="auto"/>
        </w:rPr>
        <w:t>This legislation prohibits discharge of pollutants into the waters of the United States without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government authorization and regulates the discharge of pollutants into surface waters and sewers from a variety of sources, including disposal sites and treatment facilities. The EPA has promulgated “pretreatment” regulations under the Clean Water Act, which establish pretreatment standards for introduction of pollutants into publicly owned treatment works. In the course of the treatment process, our wastewater treatment facilities generate wastewater, which we discharge to publicly owned treatment works pursuant to permits issued by the appropriate government authorities. We are required to obtain discharge permits and conduct sampling and monitoring programs.</w:t>
      </w:r>
    </w:p>
    <w:p>
      <w:pPr>
        <w:spacing w:after="0" w:line="111" w:lineRule="exact"/>
        <w:rPr>
          <w:sz w:val="20"/>
          <w:szCs w:val="20"/>
          <w:color w:val="auto"/>
        </w:rPr>
      </w:pPr>
    </w:p>
    <w:p>
      <w:pPr>
        <w:ind w:firstLine="709"/>
        <w:spacing w:after="0" w:line="284" w:lineRule="auto"/>
        <w:rPr>
          <w:sz w:val="20"/>
          <w:szCs w:val="20"/>
          <w:color w:val="auto"/>
        </w:rPr>
      </w:pPr>
      <w:r>
        <w:rPr>
          <w:rFonts w:ascii="Arial" w:cs="Arial" w:eastAsia="Arial" w:hAnsi="Arial"/>
          <w:sz w:val="18"/>
          <w:szCs w:val="18"/>
          <w:b w:val="1"/>
          <w:bCs w:val="1"/>
          <w:i w:val="1"/>
          <w:iCs w:val="1"/>
          <w:color w:val="auto"/>
        </w:rPr>
        <w:t xml:space="preserve">TSCA. </w:t>
      </w:r>
      <w:r>
        <w:rPr>
          <w:rFonts w:ascii="Arial" w:cs="Arial" w:eastAsia="Arial" w:hAnsi="Arial"/>
          <w:sz w:val="18"/>
          <w:szCs w:val="18"/>
          <w:color w:val="auto"/>
        </w:rPr>
        <w:t>We operate a network of collection, treatment and field services (remediation) facilities throughout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whose activities are regulated under provisions of TSCA. TSCA established a national program for the management of substances classified as PCBs which include waste PCBs as well as RCRA waste contaminated with PCBs. The rules set minimum design and operating requirements for storage, treatment and disposal of PCB waste. Since their initial publication, the rules have been modified to enhance the management standards for TSCA-regulated operations including the decommissioning of PCB transformers and articles, detoxification of transformer oils, incineration of PCB liquids and solids, landfill disposal of PCB solids, and remediation of PCB contamination at customer sites.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Regulation Impacting the US Operations</w:t>
      </w:r>
    </w:p>
    <w:p>
      <w:pPr>
        <w:spacing w:after="0" w:line="168" w:lineRule="exact"/>
        <w:rPr>
          <w:sz w:val="20"/>
          <w:szCs w:val="20"/>
          <w:color w:val="auto"/>
        </w:rPr>
      </w:pPr>
    </w:p>
    <w:p>
      <w:pPr>
        <w:ind w:right="80" w:firstLine="709"/>
        <w:spacing w:after="0" w:line="286" w:lineRule="auto"/>
        <w:rPr>
          <w:sz w:val="20"/>
          <w:szCs w:val="20"/>
          <w:color w:val="auto"/>
        </w:rPr>
      </w:pPr>
      <w:r>
        <w:rPr>
          <w:rFonts w:ascii="Arial" w:cs="Arial" w:eastAsia="Arial" w:hAnsi="Arial"/>
          <w:sz w:val="18"/>
          <w:szCs w:val="18"/>
          <w:b w:val="1"/>
          <w:bCs w:val="1"/>
          <w:i w:val="1"/>
          <w:iCs w:val="1"/>
          <w:color w:val="auto"/>
        </w:rPr>
        <w:t xml:space="preserve">Federal Regulations. </w:t>
      </w:r>
      <w:r>
        <w:rPr>
          <w:rFonts w:ascii="Arial" w:cs="Arial" w:eastAsia="Arial" w:hAnsi="Arial"/>
          <w:sz w:val="18"/>
          <w:szCs w:val="18"/>
          <w:color w:val="auto"/>
        </w:rPr>
        <w:t>In addition to regulations specifically directed at our transportation, storage and disposal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there are a number of regulations that may “pass-through” to the facilities based on the acceptance of regulated waste from affected customer facilities. Each facility that accepts affected waste must comply with the regulations for that waste, facility or industry. Examples of this type of regulation are National Emission Standards for Benzene Waste Operations and National Emissions Standards for Pharmaceuticals Production. Each of our facilities addresses these regulations on a case-by-case basis determined by its requirement to comply with the pass-through regulations.</w:t>
      </w:r>
    </w:p>
    <w:p>
      <w:pPr>
        <w:spacing w:after="0" w:line="99" w:lineRule="exact"/>
        <w:rPr>
          <w:sz w:val="20"/>
          <w:szCs w:val="20"/>
          <w:color w:val="auto"/>
        </w:rPr>
      </w:pPr>
    </w:p>
    <w:p>
      <w:pPr>
        <w:ind w:right="280" w:firstLine="709"/>
        <w:spacing w:after="0" w:line="261" w:lineRule="auto"/>
        <w:rPr>
          <w:sz w:val="20"/>
          <w:szCs w:val="20"/>
          <w:color w:val="auto"/>
        </w:rPr>
      </w:pPr>
      <w:r>
        <w:rPr>
          <w:rFonts w:ascii="Arial" w:cs="Arial" w:eastAsia="Arial" w:hAnsi="Arial"/>
          <w:sz w:val="20"/>
          <w:szCs w:val="20"/>
          <w:color w:val="auto"/>
        </w:rPr>
        <w:t>In our transportation operations, we are regulated by the U.S. Department of Transportation, the Federal Railroad Administration, the Federal Aviation Administration and the U.S. Coast Guard, as well as by the regulatory agencies of each state in which we operate or through which our vehicles pass.</w:t>
      </w:r>
    </w:p>
    <w:p>
      <w:pPr>
        <w:spacing w:after="0" w:line="116" w:lineRule="exact"/>
        <w:rPr>
          <w:sz w:val="20"/>
          <w:szCs w:val="20"/>
          <w:color w:val="auto"/>
        </w:rPr>
      </w:pPr>
    </w:p>
    <w:p>
      <w:pPr>
        <w:ind w:right="160" w:firstLine="709"/>
        <w:spacing w:after="0" w:line="276" w:lineRule="auto"/>
        <w:rPr>
          <w:sz w:val="20"/>
          <w:szCs w:val="20"/>
          <w:color w:val="auto"/>
        </w:rPr>
      </w:pPr>
      <w:r>
        <w:rPr>
          <w:rFonts w:ascii="Arial" w:cs="Arial" w:eastAsia="Arial" w:hAnsi="Arial"/>
          <w:sz w:val="20"/>
          <w:szCs w:val="20"/>
          <w:color w:val="auto"/>
        </w:rPr>
        <w:t>Health and safety standards under the Occupational Safety and Health Act (“OSHA”) are also applicable to all of our operations.</w:t>
      </w:r>
    </w:p>
    <w:p>
      <w:pPr>
        <w:spacing w:after="0" w:line="98" w:lineRule="exact"/>
        <w:rPr>
          <w:sz w:val="20"/>
          <w:szCs w:val="20"/>
          <w:color w:val="auto"/>
        </w:rPr>
      </w:pPr>
    </w:p>
    <w:p>
      <w:pPr>
        <w:ind w:right="20" w:firstLine="709"/>
        <w:spacing w:after="0" w:line="257" w:lineRule="auto"/>
        <w:rPr>
          <w:sz w:val="20"/>
          <w:szCs w:val="20"/>
          <w:color w:val="auto"/>
        </w:rPr>
      </w:pPr>
      <w:r>
        <w:rPr>
          <w:rFonts w:ascii="Arial" w:cs="Arial" w:eastAsia="Arial" w:hAnsi="Arial"/>
          <w:sz w:val="20"/>
          <w:szCs w:val="20"/>
          <w:b w:val="1"/>
          <w:bCs w:val="1"/>
          <w:i w:val="1"/>
          <w:iCs w:val="1"/>
          <w:color w:val="auto"/>
        </w:rPr>
        <w:t xml:space="preserve">State and Local Regulations. </w:t>
      </w:r>
      <w:r>
        <w:rPr>
          <w:rFonts w:ascii="Arial" w:cs="Arial" w:eastAsia="Arial" w:hAnsi="Arial"/>
          <w:sz w:val="20"/>
          <w:szCs w:val="20"/>
          <w:color w:val="auto"/>
        </w:rPr>
        <w:t>Pursuant to the EPA's authorization of RCRA equivalent state run programs, a number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U.S. states have regulatory programs governing the operations and permitting of hazardous waste facilities. Accordingly, the hazardous waste treatment, storage and disposal activities of a number of our facilities are regulated by the relevant state agencies in addition to federal EPA regulation.</w:t>
      </w:r>
    </w:p>
    <w:p>
      <w:pPr>
        <w:spacing w:after="0" w:line="121" w:lineRule="exact"/>
        <w:rPr>
          <w:sz w:val="20"/>
          <w:szCs w:val="20"/>
          <w:color w:val="auto"/>
        </w:rPr>
      </w:pPr>
    </w:p>
    <w:p>
      <w:pPr>
        <w:ind w:right="200" w:firstLine="709"/>
        <w:spacing w:after="0" w:line="340" w:lineRule="auto"/>
        <w:rPr>
          <w:sz w:val="20"/>
          <w:szCs w:val="20"/>
          <w:color w:val="auto"/>
        </w:rPr>
      </w:pPr>
      <w:r>
        <w:rPr>
          <w:rFonts w:ascii="Arial" w:cs="Arial" w:eastAsia="Arial" w:hAnsi="Arial"/>
          <w:sz w:val="16"/>
          <w:szCs w:val="16"/>
          <w:color w:val="auto"/>
        </w:rPr>
        <w:t>Some states classify as hazardous certain wastes that are not regulated under RCRA. For example, certain states including Massachusetts and California consider used oil as “hazardous waste” while RCRA does not. Others require specific handling of used oil. Accordingly, we must comply with state, local and provincial requirements for handling state regulated waste, and, when necessary, obtain state licenses for treating, storing and disposing of such waste at our facilities.</w:t>
      </w:r>
    </w:p>
    <w:p>
      <w:pPr>
        <w:spacing w:after="0" w:line="61" w:lineRule="exact"/>
        <w:rPr>
          <w:sz w:val="20"/>
          <w:szCs w:val="20"/>
          <w:color w:val="auto"/>
        </w:rPr>
      </w:pPr>
    </w:p>
    <w:p>
      <w:pPr>
        <w:ind w:right="380" w:firstLine="709"/>
        <w:spacing w:after="0" w:line="261" w:lineRule="auto"/>
        <w:rPr>
          <w:sz w:val="20"/>
          <w:szCs w:val="20"/>
          <w:color w:val="auto"/>
        </w:rPr>
      </w:pPr>
      <w:r>
        <w:rPr>
          <w:rFonts w:ascii="Arial" w:cs="Arial" w:eastAsia="Arial" w:hAnsi="Arial"/>
          <w:sz w:val="20"/>
          <w:szCs w:val="20"/>
          <w:color w:val="auto"/>
        </w:rPr>
        <w:t>Some states regulate other aspects of our operations, as well. For example, Delaware and New York have set strict regulations regarding the level of volatile organic compounds in parts washer solvents. We endeavor to be and remain in compliance with all applicable state regulations.</w:t>
      </w:r>
    </w:p>
    <w:p>
      <w:pPr>
        <w:spacing w:after="0" w:line="116" w:lineRule="exact"/>
        <w:rPr>
          <w:sz w:val="20"/>
          <w:szCs w:val="20"/>
          <w:color w:val="auto"/>
        </w:rPr>
      </w:pPr>
    </w:p>
    <w:p>
      <w:pPr>
        <w:ind w:right="20" w:firstLine="709"/>
        <w:spacing w:after="0" w:line="324" w:lineRule="auto"/>
        <w:rPr>
          <w:sz w:val="20"/>
          <w:szCs w:val="20"/>
          <w:color w:val="auto"/>
        </w:rPr>
      </w:pPr>
      <w:r>
        <w:rPr>
          <w:rFonts w:ascii="Arial" w:cs="Arial" w:eastAsia="Arial" w:hAnsi="Arial"/>
          <w:sz w:val="16"/>
          <w:szCs w:val="16"/>
          <w:color w:val="auto"/>
        </w:rPr>
        <w:t>Our facilities are also regulated pursuant to state statutes, including those addressing clean water and clean air. Local sewer discharge and flammable storage requirements are applicable to certain of our facilities. Our facilities are also subject to local siting, zoning and land use restrictions. We believe that each of our facilities is in substantial compliance with the applicable requirements of federal and state licenses which we have obtained. Once issued, such licenses have maximum fixed terms of a given number of years, which differ from state to state, ranging from three to ten years. The issuing state agency may review or modify a license at any time during its term. We anticipate that once a license is issued with respect to a facility, the license will be renewed at the end of its term if the facility’s operations are in compliance with applicable requirements.</w:t>
      </w:r>
    </w:p>
    <w:p>
      <w:pPr>
        <w:sectPr>
          <w:pgSz w:w="11880" w:h="15480" w:orient="portrait"/>
          <w:cols w:equalWidth="0" w:num="1">
            <w:col w:w="10100"/>
          </w:cols>
          <w:pgMar w:left="880" w:top="572" w:right="90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880" w:h="15480" w:orient="portrait"/>
          <w:cols w:equalWidth="0" w:num="1">
            <w:col w:w="10100"/>
          </w:cols>
          <w:pgMar w:left="880" w:top="572" w:right="900" w:bottom="0" w:gutter="0" w:footer="0" w:header="0"/>
          <w:type w:val="continuous"/>
        </w:sectPr>
      </w:pPr>
    </w:p>
    <w:bookmarkStart w:id="23" w:name="page24"/>
    <w:bookmarkEnd w:id="23"/>
    <w:p>
      <w:pPr>
        <w:ind w:right="400"/>
        <w:spacing w:after="0" w:line="276" w:lineRule="auto"/>
        <w:rPr>
          <w:sz w:val="20"/>
          <w:szCs w:val="20"/>
          <w:color w:val="auto"/>
        </w:rPr>
      </w:pPr>
      <w:r>
        <w:rPr>
          <w:rFonts w:ascii="Arial" w:cs="Arial" w:eastAsia="Arial" w:hAnsi="Arial"/>
          <w:sz w:val="20"/>
          <w:szCs w:val="20"/>
          <w:color w:val="auto"/>
        </w:rPr>
        <w:t>However, there can be no assurance that regulations governing future licensing will remain static, or that we will be able to comply with such requirements.</w:t>
      </w:r>
    </w:p>
    <w:p>
      <w:pPr>
        <w:spacing w:after="0" w:line="101" w:lineRule="exact"/>
        <w:rPr>
          <w:sz w:val="20"/>
          <w:szCs w:val="20"/>
          <w:color w:val="auto"/>
        </w:rPr>
      </w:pPr>
    </w:p>
    <w:p>
      <w:pPr>
        <w:ind w:firstLine="709"/>
        <w:spacing w:after="0" w:line="286" w:lineRule="auto"/>
        <w:rPr>
          <w:sz w:val="20"/>
          <w:szCs w:val="20"/>
          <w:color w:val="auto"/>
        </w:rPr>
      </w:pPr>
      <w:r>
        <w:rPr>
          <w:rFonts w:ascii="Arial" w:cs="Arial" w:eastAsia="Arial" w:hAnsi="Arial"/>
          <w:sz w:val="18"/>
          <w:szCs w:val="18"/>
          <w:color w:val="auto"/>
        </w:rPr>
        <w:t>Regulations by the International Maritime Organization (“IMO”) primarily impact shipping businesses and require that ships that traverse the oceans use marine fuels with a sulphur content of no more than 0.50% sulphur, versus the previous cap of 3.50%, in an effort to reduce the amount of sulphur oxide and decrease pollution and greenhouse gas emissions from the global shipping fleet. The shipping industry is the last major transportation sector to utilize fuel with high levels of sulfur, which is the reason the IMO pushed the industry to more closely align with other transport sectors for pollution reduction. This regulation indirectly impacts our SKSS segment as it has reduced the end market of used oil.</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Canadian Hazardous Waste Regulation</w:t>
      </w:r>
    </w:p>
    <w:p>
      <w:pPr>
        <w:spacing w:after="0" w:line="171" w:lineRule="exact"/>
        <w:rPr>
          <w:sz w:val="20"/>
          <w:szCs w:val="20"/>
          <w:color w:val="auto"/>
        </w:rPr>
      </w:pPr>
    </w:p>
    <w:p>
      <w:pPr>
        <w:ind w:right="240" w:firstLine="709"/>
        <w:spacing w:after="0" w:line="261" w:lineRule="auto"/>
        <w:rPr>
          <w:sz w:val="20"/>
          <w:szCs w:val="20"/>
          <w:color w:val="auto"/>
        </w:rPr>
      </w:pPr>
      <w:r>
        <w:rPr>
          <w:rFonts w:ascii="Arial" w:cs="Arial" w:eastAsia="Arial" w:hAnsi="Arial"/>
          <w:sz w:val="20"/>
          <w:szCs w:val="20"/>
          <w:color w:val="auto"/>
        </w:rPr>
        <w:t>In Canada, the provinces retain control over environmental issues within their boundaries and thus have the primary responsibility for regulating management of hazardous waste. The federal government regulates issues of national scope or where activities cross provincial boundaries.</w:t>
      </w:r>
    </w:p>
    <w:p>
      <w:pPr>
        <w:spacing w:after="0" w:line="114" w:lineRule="exact"/>
        <w:rPr>
          <w:sz w:val="20"/>
          <w:szCs w:val="20"/>
          <w:color w:val="auto"/>
        </w:rPr>
      </w:pPr>
    </w:p>
    <w:p>
      <w:pPr>
        <w:ind w:right="160" w:firstLine="709"/>
        <w:spacing w:after="0" w:line="257" w:lineRule="auto"/>
        <w:rPr>
          <w:sz w:val="20"/>
          <w:szCs w:val="20"/>
          <w:color w:val="auto"/>
        </w:rPr>
      </w:pPr>
      <w:r>
        <w:rPr>
          <w:rFonts w:ascii="Arial" w:cs="Arial" w:eastAsia="Arial" w:hAnsi="Arial"/>
          <w:sz w:val="20"/>
          <w:szCs w:val="20"/>
          <w:b w:val="1"/>
          <w:bCs w:val="1"/>
          <w:i w:val="1"/>
          <w:iCs w:val="1"/>
          <w:color w:val="auto"/>
        </w:rPr>
        <w:t xml:space="preserve">Provincial Regulations. </w:t>
      </w:r>
      <w:r>
        <w:rPr>
          <w:rFonts w:ascii="Arial" w:cs="Arial" w:eastAsia="Arial" w:hAnsi="Arial"/>
          <w:sz w:val="20"/>
          <w:szCs w:val="20"/>
          <w:color w:val="auto"/>
        </w:rPr>
        <w:t>Most of Canada's industrial development and the major part of its population are located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four provinces: Ontario, Quebec, Alberta and British Columbia, each of which have detailed environmental regulations. We operate major waste management facilities in each of these provinces, as well as waste transfer facilities in Nova Scotia and Manitoba and a re-refinery in Ontario.</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main provincial acts dealing with hazardous waste management are:</w:t>
      </w:r>
    </w:p>
    <w:p>
      <w:pPr>
        <w:spacing w:after="0" w:line="164" w:lineRule="exact"/>
        <w:rPr>
          <w:sz w:val="20"/>
          <w:szCs w:val="20"/>
          <w:color w:val="auto"/>
        </w:rPr>
      </w:pPr>
    </w:p>
    <w:p>
      <w:pPr>
        <w:ind w:left="1080" w:hanging="364"/>
        <w:spacing w:after="0"/>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Ontario—Environmental Protection Act;</w:t>
      </w:r>
    </w:p>
    <w:p>
      <w:pPr>
        <w:spacing w:after="0" w:line="45" w:lineRule="exact"/>
        <w:rPr>
          <w:rFonts w:ascii="Arial" w:cs="Arial" w:eastAsia="Arial" w:hAnsi="Arial"/>
          <w:sz w:val="20"/>
          <w:szCs w:val="20"/>
          <w:color w:val="auto"/>
        </w:rPr>
      </w:pPr>
    </w:p>
    <w:p>
      <w:pPr>
        <w:ind w:left="1080" w:hanging="364"/>
        <w:spacing w:after="0"/>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Quebec—Environmental Quality Act;</w:t>
      </w:r>
    </w:p>
    <w:p>
      <w:pPr>
        <w:spacing w:after="0" w:line="45" w:lineRule="exact"/>
        <w:rPr>
          <w:rFonts w:ascii="Arial" w:cs="Arial" w:eastAsia="Arial" w:hAnsi="Arial"/>
          <w:sz w:val="20"/>
          <w:szCs w:val="20"/>
          <w:color w:val="auto"/>
        </w:rPr>
      </w:pPr>
    </w:p>
    <w:p>
      <w:pPr>
        <w:ind w:left="1080" w:hanging="364"/>
        <w:spacing w:after="0"/>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Alberta—Environmental Protection and Enhancement Act; and</w:t>
      </w:r>
    </w:p>
    <w:p>
      <w:pPr>
        <w:spacing w:after="0" w:line="45" w:lineRule="exact"/>
        <w:rPr>
          <w:rFonts w:ascii="Arial" w:cs="Arial" w:eastAsia="Arial" w:hAnsi="Arial"/>
          <w:sz w:val="20"/>
          <w:szCs w:val="20"/>
          <w:color w:val="auto"/>
        </w:rPr>
      </w:pPr>
    </w:p>
    <w:p>
      <w:pPr>
        <w:ind w:left="1080" w:hanging="364"/>
        <w:spacing w:after="0"/>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British Columbia—Waste Management Act.</w:t>
      </w:r>
    </w:p>
    <w:p>
      <w:pPr>
        <w:spacing w:after="0" w:line="164" w:lineRule="exact"/>
        <w:rPr>
          <w:sz w:val="20"/>
          <w:szCs w:val="20"/>
          <w:color w:val="auto"/>
        </w:rPr>
      </w:pPr>
    </w:p>
    <w:p>
      <w:pPr>
        <w:ind w:right="100" w:firstLine="709"/>
        <w:spacing w:after="0" w:line="274" w:lineRule="auto"/>
        <w:rPr>
          <w:sz w:val="20"/>
          <w:szCs w:val="20"/>
          <w:color w:val="auto"/>
        </w:rPr>
      </w:pPr>
      <w:r>
        <w:rPr>
          <w:rFonts w:ascii="Arial" w:cs="Arial" w:eastAsia="Arial" w:hAnsi="Arial"/>
          <w:sz w:val="19"/>
          <w:szCs w:val="19"/>
          <w:color w:val="auto"/>
        </w:rPr>
        <w:t>These pieces of legislation were developed by the provinces independently and, among other things, generally control the generation, characterization, transport, treatment and disposal of hazardous waste. Regulations developed by the provinces under the relevant legislation are also developed independently, but are often quite similar in effect and sometimes in application. For example, there is some uniformity in manifest document design and utilization.</w:t>
      </w:r>
    </w:p>
    <w:p>
      <w:pPr>
        <w:spacing w:after="0" w:line="105" w:lineRule="exact"/>
        <w:rPr>
          <w:sz w:val="20"/>
          <w:szCs w:val="20"/>
          <w:color w:val="auto"/>
        </w:rPr>
      </w:pPr>
    </w:p>
    <w:p>
      <w:pPr>
        <w:jc w:val="both"/>
        <w:ind w:firstLine="709"/>
        <w:spacing w:after="0" w:line="261" w:lineRule="auto"/>
        <w:rPr>
          <w:sz w:val="20"/>
          <w:szCs w:val="20"/>
          <w:color w:val="auto"/>
        </w:rPr>
      </w:pPr>
      <w:r>
        <w:rPr>
          <w:rFonts w:ascii="Arial" w:cs="Arial" w:eastAsia="Arial" w:hAnsi="Arial"/>
          <w:sz w:val="20"/>
          <w:szCs w:val="20"/>
          <w:color w:val="auto"/>
        </w:rPr>
        <w:t>Provincial legislation also provides for the establishment of waste management facilities. In this case, the facilities are also controlled by provincial statutes and regulations governing emissions to air, groundwater and surface water and prescribing design criteria and operational guidelines.</w:t>
      </w:r>
    </w:p>
    <w:p>
      <w:pPr>
        <w:spacing w:after="0" w:line="116" w:lineRule="exact"/>
        <w:rPr>
          <w:sz w:val="20"/>
          <w:szCs w:val="20"/>
          <w:color w:val="auto"/>
        </w:rPr>
      </w:pPr>
    </w:p>
    <w:p>
      <w:pPr>
        <w:ind w:right="240" w:firstLine="709"/>
        <w:spacing w:after="0" w:line="261" w:lineRule="auto"/>
        <w:rPr>
          <w:sz w:val="20"/>
          <w:szCs w:val="20"/>
          <w:color w:val="auto"/>
        </w:rPr>
      </w:pPr>
      <w:r>
        <w:rPr>
          <w:rFonts w:ascii="Arial" w:cs="Arial" w:eastAsia="Arial" w:hAnsi="Arial"/>
          <w:sz w:val="20"/>
          <w:szCs w:val="20"/>
          <w:color w:val="auto"/>
        </w:rPr>
        <w:t>Waste transporters require a permit to operate under provincial waste management regulations and are subject to the requirements of the Federal Transportation of Dangerous Goods Act, as discussed below. They are required to report the quantities and disposition of materials shipped.</w:t>
      </w:r>
    </w:p>
    <w:p>
      <w:pPr>
        <w:spacing w:after="0" w:line="114" w:lineRule="exact"/>
        <w:rPr>
          <w:sz w:val="20"/>
          <w:szCs w:val="20"/>
          <w:color w:val="auto"/>
        </w:rPr>
      </w:pPr>
    </w:p>
    <w:p>
      <w:pPr>
        <w:ind w:right="60" w:firstLine="709"/>
        <w:spacing w:after="0" w:line="263" w:lineRule="auto"/>
        <w:rPr>
          <w:sz w:val="20"/>
          <w:szCs w:val="20"/>
          <w:color w:val="auto"/>
        </w:rPr>
      </w:pPr>
      <w:r>
        <w:rPr>
          <w:rFonts w:ascii="Arial" w:cs="Arial" w:eastAsia="Arial" w:hAnsi="Arial"/>
          <w:sz w:val="20"/>
          <w:szCs w:val="20"/>
          <w:b w:val="1"/>
          <w:bCs w:val="1"/>
          <w:i w:val="1"/>
          <w:iCs w:val="1"/>
          <w:color w:val="auto"/>
        </w:rPr>
        <w:t xml:space="preserve">Canadian Federal Regulations. </w:t>
      </w:r>
      <w:r>
        <w:rPr>
          <w:rFonts w:ascii="Arial" w:cs="Arial" w:eastAsia="Arial" w:hAnsi="Arial"/>
          <w:sz w:val="20"/>
          <w:szCs w:val="20"/>
          <w:color w:val="auto"/>
        </w:rPr>
        <w:t>The Canadian federal government has authority for those matters which are national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scope and in impact and for Canada's relations with other nations. The main federal laws governing hazardous waste management are:</w:t>
      </w:r>
    </w:p>
    <w:p>
      <w:pPr>
        <w:spacing w:after="0" w:line="114" w:lineRule="exact"/>
        <w:rPr>
          <w:sz w:val="20"/>
          <w:szCs w:val="20"/>
          <w:color w:val="auto"/>
        </w:rPr>
      </w:pPr>
    </w:p>
    <w:p>
      <w:pPr>
        <w:ind w:left="1080" w:hanging="364"/>
        <w:spacing w:after="0"/>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Canadian Environmental Protection Act (1999) (“CEPA 99”), and</w:t>
      </w:r>
    </w:p>
    <w:p>
      <w:pPr>
        <w:spacing w:after="0" w:line="45" w:lineRule="exact"/>
        <w:rPr>
          <w:rFonts w:ascii="Arial" w:cs="Arial" w:eastAsia="Arial" w:hAnsi="Arial"/>
          <w:sz w:val="20"/>
          <w:szCs w:val="20"/>
          <w:color w:val="auto"/>
        </w:rPr>
      </w:pPr>
    </w:p>
    <w:p>
      <w:pPr>
        <w:ind w:left="1080" w:hanging="364"/>
        <w:spacing w:after="0"/>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Transportation of Dangerous Goods Act</w:t>
      </w:r>
    </w:p>
    <w:p>
      <w:pPr>
        <w:spacing w:after="0" w:line="164" w:lineRule="exact"/>
        <w:rPr>
          <w:sz w:val="20"/>
          <w:szCs w:val="20"/>
          <w:color w:val="auto"/>
        </w:rPr>
      </w:pPr>
    </w:p>
    <w:p>
      <w:pPr>
        <w:ind w:right="20" w:firstLine="709"/>
        <w:spacing w:after="0" w:line="274" w:lineRule="auto"/>
        <w:rPr>
          <w:sz w:val="20"/>
          <w:szCs w:val="20"/>
          <w:color w:val="auto"/>
        </w:rPr>
      </w:pPr>
      <w:r>
        <w:rPr>
          <w:rFonts w:ascii="Arial" w:cs="Arial" w:eastAsia="Arial" w:hAnsi="Arial"/>
          <w:sz w:val="19"/>
          <w:szCs w:val="19"/>
          <w:color w:val="auto"/>
        </w:rPr>
        <w:t>Environment Canada is the federal agency with responsibility for environmental matters and the main legislative instrument is the CEPA 99. This act charges Environment Canada and Health Canada, the federal agency responsible for the health of individuals, with protection of human health and the environment and seeks to control the production, importation and use of substances in Canada and to control their impact on the environment.</w:t>
      </w:r>
    </w:p>
    <w:p>
      <w:pPr>
        <w:spacing w:after="0" w:line="105" w:lineRule="exact"/>
        <w:rPr>
          <w:sz w:val="20"/>
          <w:szCs w:val="20"/>
          <w:color w:val="auto"/>
        </w:rPr>
      </w:pPr>
    </w:p>
    <w:p>
      <w:pPr>
        <w:ind w:firstLine="709"/>
        <w:spacing w:after="0" w:line="320" w:lineRule="auto"/>
        <w:rPr>
          <w:sz w:val="20"/>
          <w:szCs w:val="20"/>
          <w:color w:val="auto"/>
        </w:rPr>
      </w:pPr>
      <w:r>
        <w:rPr>
          <w:rFonts w:ascii="Arial" w:cs="Arial" w:eastAsia="Arial" w:hAnsi="Arial"/>
          <w:sz w:val="16"/>
          <w:szCs w:val="16"/>
          <w:color w:val="auto"/>
        </w:rPr>
        <w:t>The Export and Import of Hazardous Waste and Hazardous Recyclable Material Regulations under CEPA 99 control the export and import of hazardous waste and hazardous recyclable materials. By reference, these regulations incorporate the Transportation of Dangerous Goods Act and Regulations, which address identification, packaging, marking and documentation of hazardous materials during transport. CEPA 99 requires that anyone proposing to export or import hazardous waste or hazardous recyclable materials or to transport them through Canada, must notify the Minister of the Environment and obtain a permit to do so. Section 9 of CEPA 99 allows the federal government to enter into administrative agreements with the provinces and territories for the development and improvement of environmental standards. These agreements represent cooperation towards a common goal rather than a delegation of authority under CEPA 99. To facilitate the development of provincial and territorial agreements, the federal, provincial and territorial governments participate in the Canadian Council of Ministers of the</w:t>
      </w:r>
    </w:p>
    <w:p>
      <w:pPr>
        <w:sectPr>
          <w:pgSz w:w="11880" w:h="15480" w:orient="portrait"/>
          <w:cols w:equalWidth="0" w:num="1">
            <w:col w:w="10100"/>
          </w:cols>
          <w:pgMar w:left="880" w:top="575" w:right="90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880" w:h="15480" w:orient="portrait"/>
          <w:cols w:equalWidth="0" w:num="1">
            <w:col w:w="10100"/>
          </w:cols>
          <w:pgMar w:left="880" w:top="575" w:right="900" w:bottom="0" w:gutter="0" w:footer="0" w:header="0"/>
          <w:type w:val="continuous"/>
        </w:sectPr>
      </w:pPr>
    </w:p>
    <w:bookmarkStart w:id="24" w:name="page25"/>
    <w:bookmarkEnd w:id="24"/>
    <w:p>
      <w:pPr>
        <w:ind w:right="180"/>
        <w:spacing w:after="0" w:line="261" w:lineRule="auto"/>
        <w:rPr>
          <w:sz w:val="20"/>
          <w:szCs w:val="20"/>
          <w:color w:val="auto"/>
        </w:rPr>
      </w:pPr>
      <w:r>
        <w:rPr>
          <w:rFonts w:ascii="Arial" w:cs="Arial" w:eastAsia="Arial" w:hAnsi="Arial"/>
          <w:sz w:val="20"/>
          <w:szCs w:val="20"/>
          <w:color w:val="auto"/>
        </w:rPr>
        <w:t>Environment (“CCME”). The CCME comprises the 14 environment ministers from the federal, provincial and territorial governments, who normally meet at least once a year to discuss national environmental priorities and to determine work to be carried out under the auspices of the CCME.</w:t>
      </w:r>
    </w:p>
    <w:p>
      <w:pPr>
        <w:spacing w:after="0" w:line="114" w:lineRule="exact"/>
        <w:rPr>
          <w:sz w:val="20"/>
          <w:szCs w:val="20"/>
          <w:color w:val="auto"/>
        </w:rPr>
      </w:pPr>
    </w:p>
    <w:p>
      <w:pPr>
        <w:ind w:right="180" w:firstLine="709"/>
        <w:spacing w:after="0" w:line="257" w:lineRule="auto"/>
        <w:rPr>
          <w:sz w:val="20"/>
          <w:szCs w:val="20"/>
          <w:color w:val="auto"/>
        </w:rPr>
      </w:pPr>
      <w:r>
        <w:rPr>
          <w:rFonts w:ascii="Arial" w:cs="Arial" w:eastAsia="Arial" w:hAnsi="Arial"/>
          <w:sz w:val="20"/>
          <w:szCs w:val="20"/>
          <w:b w:val="1"/>
          <w:bCs w:val="1"/>
          <w:i w:val="1"/>
          <w:iCs w:val="1"/>
          <w:color w:val="auto"/>
        </w:rPr>
        <w:t xml:space="preserve">Canadian Local and Municipal Regulations. </w:t>
      </w:r>
      <w:r>
        <w:rPr>
          <w:rFonts w:ascii="Arial" w:cs="Arial" w:eastAsia="Arial" w:hAnsi="Arial"/>
          <w:sz w:val="20"/>
          <w:szCs w:val="20"/>
          <w:color w:val="auto"/>
        </w:rPr>
        <w:t>Local and municipal regulations seldom reference direct control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hazardous waste management activities. Municipal regulations and by-laws, however, control such issues as land use designation, access to municipal services and use of emergency services, all of which can have a significant impact on facility operation.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Regulations</w:t>
      </w:r>
    </w:p>
    <w:p>
      <w:pPr>
        <w:spacing w:after="0" w:line="171" w:lineRule="exact"/>
        <w:rPr>
          <w:sz w:val="20"/>
          <w:szCs w:val="20"/>
          <w:color w:val="auto"/>
        </w:rPr>
      </w:pPr>
    </w:p>
    <w:p>
      <w:pPr>
        <w:ind w:right="160" w:firstLine="709"/>
        <w:spacing w:after="0" w:line="256" w:lineRule="auto"/>
        <w:rPr>
          <w:sz w:val="20"/>
          <w:szCs w:val="20"/>
          <w:color w:val="auto"/>
        </w:rPr>
      </w:pPr>
      <w:r>
        <w:rPr>
          <w:rFonts w:ascii="Arial" w:cs="Arial" w:eastAsia="Arial" w:hAnsi="Arial"/>
          <w:sz w:val="20"/>
          <w:szCs w:val="20"/>
          <w:color w:val="auto"/>
        </w:rPr>
        <w:t>The environmental regulations discussed above require that we remediate contaminated sites, operate our facilities in accordance with enacted regulations, obtain required financial assurance for closure and post-closure care of our facilities should such facilities cease operations and make capital investments in order to keep our facilities in compliance with environmental regulations.</w:t>
      </w:r>
    </w:p>
    <w:p>
      <w:pPr>
        <w:spacing w:after="0" w:line="122" w:lineRule="exact"/>
        <w:rPr>
          <w:sz w:val="20"/>
          <w:szCs w:val="20"/>
          <w:color w:val="auto"/>
        </w:rPr>
      </w:pPr>
    </w:p>
    <w:p>
      <w:pPr>
        <w:ind w:firstLine="709"/>
        <w:spacing w:after="0" w:line="274" w:lineRule="auto"/>
        <w:rPr>
          <w:sz w:val="20"/>
          <w:szCs w:val="20"/>
          <w:color w:val="auto"/>
        </w:rPr>
      </w:pPr>
      <w:r>
        <w:rPr>
          <w:rFonts w:ascii="Arial" w:cs="Arial" w:eastAsia="Arial" w:hAnsi="Arial"/>
          <w:sz w:val="19"/>
          <w:szCs w:val="19"/>
          <w:color w:val="auto"/>
        </w:rPr>
        <w:t>As further discussed in Note 10, “Closure and Post-Closure Liabilities,” and Note 11, “Remedial Liabilities,” to our consolidated financial statements included in Item 8 of this report, as of December 31, 2024, we have recognized closure, post-closure and environmental liabilities of $241.5 million. For the years ended December 31, 2024, 2023 and 2022, we spent $27.5 million, $29.0 million and $13.9 million, respectively, to address environmental liabilities.</w:t>
      </w:r>
    </w:p>
    <w:p>
      <w:pPr>
        <w:spacing w:after="0" w:line="105" w:lineRule="exact"/>
        <w:rPr>
          <w:sz w:val="20"/>
          <w:szCs w:val="20"/>
          <w:color w:val="auto"/>
        </w:rPr>
      </w:pPr>
    </w:p>
    <w:p>
      <w:pPr>
        <w:jc w:val="both"/>
        <w:ind w:right="360" w:firstLine="709"/>
        <w:spacing w:after="0" w:line="356" w:lineRule="auto"/>
        <w:rPr>
          <w:sz w:val="20"/>
          <w:szCs w:val="20"/>
          <w:color w:val="auto"/>
        </w:rPr>
      </w:pPr>
      <w:r>
        <w:rPr>
          <w:rFonts w:ascii="Arial" w:cs="Arial" w:eastAsia="Arial" w:hAnsi="Arial"/>
          <w:sz w:val="16"/>
          <w:szCs w:val="16"/>
          <w:color w:val="auto"/>
        </w:rPr>
        <w:t>As discussed more fully above under the heading “Insurance and Financial Assurance,” we are required to provide financial assurance with respect to certain statutorily required closure, post-closure and corrective action obligations at our facilities. We have placed the required financial assurance primarily through qualified insurance companies.</w:t>
      </w:r>
    </w:p>
    <w:p>
      <w:pPr>
        <w:spacing w:after="0" w:line="48" w:lineRule="exact"/>
        <w:rPr>
          <w:sz w:val="20"/>
          <w:szCs w:val="20"/>
          <w:color w:val="auto"/>
        </w:rPr>
      </w:pPr>
    </w:p>
    <w:p>
      <w:pPr>
        <w:ind w:right="60" w:firstLine="709"/>
        <w:spacing w:after="0" w:line="265" w:lineRule="auto"/>
        <w:rPr>
          <w:sz w:val="20"/>
          <w:szCs w:val="20"/>
          <w:color w:val="auto"/>
        </w:rPr>
      </w:pPr>
      <w:r>
        <w:rPr>
          <w:rFonts w:ascii="Arial" w:cs="Arial" w:eastAsia="Arial" w:hAnsi="Arial"/>
          <w:sz w:val="19"/>
          <w:szCs w:val="19"/>
          <w:color w:val="auto"/>
        </w:rPr>
        <w:t>As described in Note 18, “Commitments and Contingencies,” to our consolidated financial statements included in Item 8 of this report, from time to time we are involved in legal proceedings arising under environmental laws and regulations. Alleged failure to comply with laws and regulations may lead to the imposition of fines or the denial, revocation or delay of the renewal of permits and licenses by government entities. In addition, such government entities, as well as surrounding landowners, may claim that we are liable for environmental damages. Citizens groups have become increasingly active in challenging the grant or renewal of permits and licenses for hazardous waste facilities, and responding to such challenges has further increased the costs associated with establishing new facilities or expanding current facilities. A significant judgment against us, the loss of a significant permit or license or the imposition of a significant fine could have a material effect on our business and future prospects.</w:t>
      </w:r>
    </w:p>
    <w:p>
      <w:pPr>
        <w:spacing w:after="0" w:line="107"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71" w:lineRule="exact"/>
        <w:rPr>
          <w:sz w:val="20"/>
          <w:szCs w:val="20"/>
          <w:color w:val="auto"/>
        </w:rPr>
      </w:pPr>
    </w:p>
    <w:p>
      <w:pPr>
        <w:ind w:right="40" w:firstLine="709"/>
        <w:spacing w:after="0" w:line="289" w:lineRule="auto"/>
        <w:rPr>
          <w:sz w:val="20"/>
          <w:szCs w:val="20"/>
          <w:color w:val="auto"/>
        </w:rPr>
      </w:pPr>
      <w:r>
        <w:rPr>
          <w:rFonts w:ascii="Arial" w:cs="Arial" w:eastAsia="Arial" w:hAnsi="Arial"/>
          <w:sz w:val="18"/>
          <w:szCs w:val="18"/>
          <w:color w:val="auto"/>
        </w:rPr>
        <w:t>An investment in our securities involves certain risks, including those described below. One should carefully consider these risk factors together with all of the information included or incorporated by reference in this report before investing in our securities. The risks described below are not intended to be exhaustive and are not the only risks that we face. Additional risks and uncertainties not presently known to us or that we currently deem immaterial also may impair our business and the market price of our common stock. See the section titled “Disclosure Regarding Forward-Looking Statements” for more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OPERATIONAL RISKS</w:t>
      </w:r>
    </w:p>
    <w:p>
      <w:pPr>
        <w:spacing w:after="0" w:line="163" w:lineRule="exact"/>
        <w:rPr>
          <w:sz w:val="20"/>
          <w:szCs w:val="20"/>
          <w:color w:val="auto"/>
        </w:rPr>
      </w:pPr>
    </w:p>
    <w:p>
      <w:pPr>
        <w:ind w:right="40" w:firstLine="709"/>
        <w:spacing w:after="0" w:line="281" w:lineRule="auto"/>
        <w:rPr>
          <w:sz w:val="20"/>
          <w:szCs w:val="20"/>
          <w:color w:val="auto"/>
        </w:rPr>
      </w:pPr>
      <w:r>
        <w:rPr>
          <w:rFonts w:ascii="Arial" w:cs="Arial" w:eastAsia="Arial" w:hAnsi="Arial"/>
          <w:sz w:val="20"/>
          <w:szCs w:val="20"/>
          <w:b w:val="1"/>
          <w:bCs w:val="1"/>
          <w:i w:val="1"/>
          <w:iCs w:val="1"/>
          <w:color w:val="auto"/>
        </w:rPr>
        <w:t>Our businesses are subject to operational and safety risks. Failure to limit our exposure to such risks could have an adverse impact on our results.</w:t>
      </w:r>
    </w:p>
    <w:p>
      <w:pPr>
        <w:spacing w:after="0" w:line="100" w:lineRule="exact"/>
        <w:rPr>
          <w:sz w:val="20"/>
          <w:szCs w:val="20"/>
          <w:color w:val="auto"/>
        </w:rPr>
      </w:pPr>
    </w:p>
    <w:p>
      <w:pPr>
        <w:ind w:right="40" w:firstLine="709"/>
        <w:spacing w:after="0" w:line="308" w:lineRule="auto"/>
        <w:rPr>
          <w:sz w:val="20"/>
          <w:szCs w:val="20"/>
          <w:color w:val="auto"/>
        </w:rPr>
      </w:pPr>
      <w:r>
        <w:rPr>
          <w:rFonts w:ascii="Arial" w:cs="Arial" w:eastAsia="Arial" w:hAnsi="Arial"/>
          <w:sz w:val="16"/>
          <w:szCs w:val="16"/>
          <w:color w:val="auto"/>
        </w:rPr>
        <w:t>Providing our suite of services to our customers and operating our facilities involves risks such as equipment defects, malfunctions and failures and natural or man-made disasters, which could potentially result in releases of hazardous materials, damage to or total loss of our property or assets, injury or death of our employees, subcontractors or others, reduced perceived value of our brand or damage to our reputation, or a need to shut down or reduce operation of our facilities while remedial actions are undertaken. Our employees and subcontractors, when necessary, often work under potentially hazardous conditions. These risks expose us to potential liability for pollution and other environmental damages, personal injury, loss of life, business interruption and property damage or destruction. We must also maintain a solid safety record in order to remain a preferred supplier to our major customers and protect the value of our brand in the marketplace. While we seek to minimize our exposure to such risks primarily through (i) comprehensive training programs, (ii) utilizing proper equipment and the latest technologies,</w:t>
      </w:r>
    </w:p>
    <w:p>
      <w:pPr>
        <w:spacing w:after="0" w:line="3" w:lineRule="exact"/>
        <w:rPr>
          <w:sz w:val="20"/>
          <w:szCs w:val="20"/>
          <w:color w:val="auto"/>
        </w:rPr>
      </w:pPr>
    </w:p>
    <w:p>
      <w:pPr>
        <w:ind w:right="180" w:firstLine="7"/>
        <w:spacing w:after="0" w:line="356" w:lineRule="auto"/>
        <w:tabs>
          <w:tab w:leader="none" w:pos="3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Environmental Compliance Internal Audit Program, (iv) vehicle and equipment maintenance programs, (v) subcontracting with reputable third-parties, (vi) industrial control systems and (vii) insurance, such actions and insurance may not be adequate to cover all of our potential liabilities which could negatively impact our results of operations and cash flows.</w:t>
      </w:r>
    </w:p>
    <w:p>
      <w:pPr>
        <w:sectPr>
          <w:pgSz w:w="11880" w:h="15480" w:orient="portrait"/>
          <w:cols w:equalWidth="0" w:num="1">
            <w:col w:w="10100"/>
          </w:cols>
          <w:pgMar w:left="880" w:top="5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880" w:h="15480" w:orient="portrait"/>
          <w:cols w:equalWidth="0" w:num="1">
            <w:col w:w="10100"/>
          </w:cols>
          <w:pgMar w:left="880" w:top="575" w:right="900" w:bottom="0" w:gutter="0" w:footer="0" w:header="0"/>
          <w:type w:val="continuous"/>
        </w:sectPr>
      </w:pPr>
    </w:p>
    <w:bookmarkStart w:id="25" w:name="page26"/>
    <w:bookmarkEnd w:id="25"/>
    <w:p>
      <w:pPr>
        <w:ind w:right="40" w:firstLine="709"/>
        <w:spacing w:after="0" w:line="411" w:lineRule="auto"/>
        <w:rPr>
          <w:sz w:val="20"/>
          <w:szCs w:val="20"/>
          <w:color w:val="auto"/>
        </w:rPr>
      </w:pPr>
      <w:r>
        <w:rPr>
          <w:rFonts w:ascii="Arial" w:cs="Arial" w:eastAsia="Arial" w:hAnsi="Arial"/>
          <w:sz w:val="16"/>
          <w:szCs w:val="16"/>
          <w:b w:val="1"/>
          <w:bCs w:val="1"/>
          <w:i w:val="1"/>
          <w:iCs w:val="1"/>
          <w:color w:val="auto"/>
        </w:rPr>
        <w:t>Our operations are increasingly dependent upon technology. Failure of these technologies, failure to upgrade or innovate these technologies or failure to identify and develop new technologies could have an adverse impact on our results.</w:t>
      </w:r>
    </w:p>
    <w:p>
      <w:pPr>
        <w:spacing w:after="0" w:line="8" w:lineRule="exact"/>
        <w:rPr>
          <w:sz w:val="20"/>
          <w:szCs w:val="20"/>
          <w:color w:val="auto"/>
        </w:rPr>
      </w:pPr>
    </w:p>
    <w:p>
      <w:pPr>
        <w:ind w:right="60" w:firstLine="709"/>
        <w:spacing w:after="0" w:line="254" w:lineRule="auto"/>
        <w:rPr>
          <w:sz w:val="20"/>
          <w:szCs w:val="20"/>
          <w:color w:val="auto"/>
        </w:rPr>
      </w:pPr>
      <w:r>
        <w:rPr>
          <w:rFonts w:ascii="Arial" w:cs="Arial" w:eastAsia="Arial" w:hAnsi="Arial"/>
          <w:sz w:val="20"/>
          <w:szCs w:val="20"/>
          <w:color w:val="auto"/>
        </w:rPr>
        <w:t>Our information technology systems are critical to our operations, customer experience and financial reporting. Malfunctions of these technologies, including disruptions due to natural or man-made disasters (e.g., terrorism), could interrupt operations, create incremental operational and safety risks such as those noted above or negatively impact our service to our customers and our business reputation. System failures could also impede our ability to collect and report financial results timely or comply with regulations associated with our operations.</w:t>
      </w:r>
    </w:p>
    <w:p>
      <w:pPr>
        <w:spacing w:after="0" w:line="123" w:lineRule="exact"/>
        <w:rPr>
          <w:sz w:val="20"/>
          <w:szCs w:val="20"/>
          <w:color w:val="auto"/>
        </w:rPr>
      </w:pPr>
    </w:p>
    <w:p>
      <w:pPr>
        <w:ind w:right="60" w:firstLine="709"/>
        <w:spacing w:after="0" w:line="254" w:lineRule="auto"/>
        <w:rPr>
          <w:sz w:val="20"/>
          <w:szCs w:val="20"/>
          <w:color w:val="auto"/>
        </w:rPr>
      </w:pPr>
      <w:r>
        <w:rPr>
          <w:rFonts w:ascii="Arial" w:cs="Arial" w:eastAsia="Arial" w:hAnsi="Arial"/>
          <w:sz w:val="20"/>
          <w:szCs w:val="20"/>
          <w:color w:val="auto"/>
        </w:rPr>
        <w:t>Identification of new and emerging technologies, including the use of artificial intelligence, may be a risk and an opportunity to our business. Research and development of new technologies may require significant spending which may negatively impact our operating results and cash flows. Failure to innovate and focus on new technologies that provide superior alternatives to traditional environmental services, waste disposal or oil collection and re-refining service offerings may negatively impact our financial results.</w:t>
      </w:r>
    </w:p>
    <w:p>
      <w:pPr>
        <w:spacing w:after="0" w:line="115" w:lineRule="exact"/>
        <w:rPr>
          <w:sz w:val="20"/>
          <w:szCs w:val="20"/>
          <w:color w:val="auto"/>
        </w:rPr>
      </w:pPr>
    </w:p>
    <w:p>
      <w:pPr>
        <w:ind w:left="720" w:right="660"/>
        <w:spacing w:after="0" w:line="416" w:lineRule="auto"/>
        <w:rPr>
          <w:sz w:val="20"/>
          <w:szCs w:val="20"/>
          <w:color w:val="auto"/>
        </w:rPr>
      </w:pPr>
      <w:r>
        <w:rPr>
          <w:rFonts w:ascii="Arial" w:cs="Arial" w:eastAsia="Arial" w:hAnsi="Arial"/>
          <w:sz w:val="16"/>
          <w:szCs w:val="16"/>
          <w:b w:val="1"/>
          <w:bCs w:val="1"/>
          <w:i w:val="1"/>
          <w:iCs w:val="1"/>
          <w:color w:val="auto"/>
        </w:rPr>
        <w:t xml:space="preserve">A cybersecurity incident could negatively impact our business, operations and relationships with customers. </w:t>
      </w:r>
      <w:r>
        <w:rPr>
          <w:rFonts w:ascii="Arial" w:cs="Arial" w:eastAsia="Arial" w:hAnsi="Arial"/>
          <w:sz w:val="16"/>
          <w:szCs w:val="16"/>
          <w:color w:val="auto"/>
        </w:rPr>
        <w:t>We use technology in substantially all aspects of our business operations. Mobile devices and other online</w:t>
      </w:r>
    </w:p>
    <w:p>
      <w:pPr>
        <w:spacing w:after="0" w:line="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technologies connect our employees to our customers and our networks. Such uses give rise to cybersecurity risks, including security breach, espionage, system disruption, theft, disruption of our business operations, remediation costs for repairs of system damage and inadvertent release of information. Our business involves operational technology integral to our day to day business and the storage and transmission of numerous classes of sensitive and/or confidential information and intellectual property including, but not limited to, private information about employees and financial and strategic information about our Company and our business partners. Furthermore, as we pursue our strategy to grow through acquisitions and new initiatives that improve our operations and cost structure, we are also expanding and improving our information technologies, resulting in a larger technological presence and corresponding exposure to cybersecurity risk.</w:t>
      </w:r>
    </w:p>
    <w:p>
      <w:pPr>
        <w:spacing w:after="0" w:line="103" w:lineRule="exact"/>
        <w:rPr>
          <w:sz w:val="20"/>
          <w:szCs w:val="20"/>
          <w:color w:val="auto"/>
        </w:rPr>
      </w:pPr>
    </w:p>
    <w:p>
      <w:pPr>
        <w:ind w:right="40" w:firstLine="709"/>
        <w:spacing w:after="0" w:line="261" w:lineRule="auto"/>
        <w:rPr>
          <w:sz w:val="20"/>
          <w:szCs w:val="20"/>
          <w:color w:val="auto"/>
        </w:rPr>
      </w:pPr>
      <w:r>
        <w:rPr>
          <w:rFonts w:ascii="Arial" w:cs="Arial" w:eastAsia="Arial" w:hAnsi="Arial"/>
          <w:sz w:val="20"/>
          <w:szCs w:val="20"/>
          <w:color w:val="auto"/>
        </w:rPr>
        <w:t>We maintain what we believe is sufficient insurance coverage that may (subject to certain policy terms and conditions, including deductibles) cover certain aspects of third-party security and cybersecurity risks and business interruption, however, our insurance coverage may not always cover all related costs or losses.</w:t>
      </w:r>
    </w:p>
    <w:p>
      <w:pPr>
        <w:spacing w:after="0" w:line="116" w:lineRule="exact"/>
        <w:rPr>
          <w:sz w:val="20"/>
          <w:szCs w:val="20"/>
          <w:color w:val="auto"/>
        </w:rPr>
      </w:pPr>
    </w:p>
    <w:p>
      <w:pPr>
        <w:ind w:right="60" w:firstLine="709"/>
        <w:spacing w:after="0" w:line="317" w:lineRule="auto"/>
        <w:rPr>
          <w:sz w:val="20"/>
          <w:szCs w:val="20"/>
          <w:color w:val="auto"/>
        </w:rPr>
      </w:pPr>
      <w:r>
        <w:rPr>
          <w:rFonts w:ascii="Arial" w:cs="Arial" w:eastAsia="Arial" w:hAnsi="Arial"/>
          <w:sz w:val="16"/>
          <w:szCs w:val="16"/>
          <w:color w:val="auto"/>
        </w:rPr>
        <w:t>We actively assess our cybersecurity and technology risks and modify our operational response to such risks as circumstances and technology change. If we fail to assess and identify current cybersecurity risks and those associated with acquisitions and new initiatives, we may become increasingly vulnerable to such risks. We have implemented measures aimed at preventing security breaches and cyber incidents, including the establishment of processes, procedures and systems focused on response readiness, planning, disaster recovery and business continuity. To avoid the collection and housing of customer payment records, we partner with a Payment Card Industry compliant third party to handle our customers’ credit card transactions in a secure a manner. Despite our best efforts, our preventative measures and incident response efforts may not be entirely effective. The theft, destruction, loss, misappropriation or release of sensitive and/or confidential information or intellectual property, or interference with our operational technology, information technology systems or the technology systems of third parties on which we rely, could result in business disruption, negative publicity, damage to our assets, brand reputational damage, violation of privacy laws, loss of customers, potential liability and competitive disadvantage, which could have a material adverse effect on our financial position, results of operations or cash flows.</w:t>
      </w:r>
    </w:p>
    <w:p>
      <w:pPr>
        <w:spacing w:after="0" w:line="313" w:lineRule="exact"/>
        <w:rPr>
          <w:sz w:val="20"/>
          <w:szCs w:val="20"/>
          <w:color w:val="auto"/>
        </w:rPr>
      </w:pPr>
    </w:p>
    <w:p>
      <w:pPr>
        <w:ind w:right="420" w:firstLine="709"/>
        <w:spacing w:after="0" w:line="271" w:lineRule="auto"/>
        <w:rPr>
          <w:sz w:val="20"/>
          <w:szCs w:val="20"/>
          <w:color w:val="auto"/>
        </w:rPr>
      </w:pPr>
      <w:r>
        <w:rPr>
          <w:rFonts w:ascii="Arial" w:cs="Arial" w:eastAsia="Arial" w:hAnsi="Arial"/>
          <w:sz w:val="20"/>
          <w:szCs w:val="20"/>
          <w:b w:val="1"/>
          <w:bCs w:val="1"/>
          <w:i w:val="1"/>
          <w:iCs w:val="1"/>
          <w:color w:val="auto"/>
        </w:rPr>
        <w:t>Natural disasters or other catastrophic events as well as their residual macroeconomic effects, could negatively affect our business.</w:t>
      </w:r>
    </w:p>
    <w:p>
      <w:pPr>
        <w:spacing w:after="0" w:line="99" w:lineRule="exact"/>
        <w:rPr>
          <w:sz w:val="20"/>
          <w:szCs w:val="20"/>
          <w:color w:val="auto"/>
        </w:rPr>
      </w:pPr>
    </w:p>
    <w:p>
      <w:pPr>
        <w:ind w:right="40" w:firstLine="709"/>
        <w:spacing w:after="0" w:line="265" w:lineRule="auto"/>
        <w:rPr>
          <w:sz w:val="20"/>
          <w:szCs w:val="20"/>
          <w:color w:val="auto"/>
        </w:rPr>
      </w:pPr>
      <w:r>
        <w:rPr>
          <w:rFonts w:ascii="Arial" w:cs="Arial" w:eastAsia="Arial" w:hAnsi="Arial"/>
          <w:sz w:val="19"/>
          <w:szCs w:val="19"/>
          <w:color w:val="auto"/>
        </w:rPr>
        <w:t>Natural disasters such as hurricanes, tornados, earthquakes, wildfires or other catastrophic events including public health threats could negatively affect our operations and financial performance and harm our reputation. The direct and indirect impact of such events could include physical damage to one or more of our facilities, equipment or locations in which we operate, the temporary lack of an adequate workforce in a market and the temporary disruption in rail or other modes of transportation upon which we rely. These events could prevent or delay shipments to and collections from customers and those from suppliers. Residual and lingering macroeconomic effects from such events could impact our supply chain, distribution network and/or workforce via longer disruptions or increased costs. These impacts could have a material effect on our business, financial condition, results of operations and cash flows.</w:t>
      </w:r>
    </w:p>
    <w:p>
      <w:pPr>
        <w:spacing w:after="0" w:line="119" w:lineRule="exact"/>
        <w:rPr>
          <w:sz w:val="20"/>
          <w:szCs w:val="20"/>
          <w:color w:val="auto"/>
        </w:rPr>
      </w:pPr>
    </w:p>
    <w:p>
      <w:pPr>
        <w:ind w:firstLine="709"/>
        <w:spacing w:after="0" w:line="293" w:lineRule="auto"/>
        <w:rPr>
          <w:sz w:val="20"/>
          <w:szCs w:val="20"/>
          <w:color w:val="auto"/>
        </w:rPr>
      </w:pPr>
      <w:r>
        <w:rPr>
          <w:rFonts w:ascii="Arial" w:cs="Arial" w:eastAsia="Arial" w:hAnsi="Arial"/>
          <w:sz w:val="18"/>
          <w:szCs w:val="18"/>
          <w:color w:val="auto"/>
        </w:rPr>
        <w:t>Weather conditions and other event driven special projects also cause interim variations in our results. These events could adversely impact the ability of the Company’s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ectPr>
          <w:pgSz w:w="11880" w:h="15480" w:orient="portrait"/>
          <w:cols w:equalWidth="0" w:num="1">
            <w:col w:w="10100"/>
          </w:cols>
          <w:pgMar w:left="880" w:top="56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880" w:h="15480" w:orient="portrait"/>
          <w:cols w:equalWidth="0" w:num="1">
            <w:col w:w="10100"/>
          </w:cols>
          <w:pgMar w:left="880" w:top="567" w:right="900" w:bottom="0" w:gutter="0" w:footer="0" w:header="0"/>
          <w:type w:val="continuous"/>
        </w:sectPr>
      </w:pPr>
    </w:p>
    <w:bookmarkStart w:id="26" w:name="page27"/>
    <w:bookmarkEnd w:id="26"/>
    <w:p>
      <w:pPr>
        <w:ind w:right="100" w:firstLine="709"/>
        <w:spacing w:after="0" w:line="264" w:lineRule="auto"/>
        <w:rPr>
          <w:sz w:val="20"/>
          <w:szCs w:val="20"/>
          <w:color w:val="auto"/>
        </w:rPr>
      </w:pPr>
      <w:r>
        <w:rPr>
          <w:rFonts w:ascii="Arial" w:cs="Arial" w:eastAsia="Arial" w:hAnsi="Arial"/>
          <w:sz w:val="20"/>
          <w:szCs w:val="20"/>
          <w:b w:val="1"/>
          <w:bCs w:val="1"/>
          <w:i w:val="1"/>
          <w:iCs w:val="1"/>
          <w:color w:val="auto"/>
        </w:rPr>
        <w:t>Our growth and success are dependent upon our people. If we lose key personnel and are unable to hire additional qualified personnel in a timely manner, our business may be harmed. A change or deterioration in our relations with our employees could have a materially adverse effect on our business.</w:t>
      </w:r>
    </w:p>
    <w:p>
      <w:pPr>
        <w:spacing w:after="0" w:line="116" w:lineRule="exact"/>
        <w:rPr>
          <w:sz w:val="20"/>
          <w:szCs w:val="20"/>
          <w:color w:val="auto"/>
        </w:rPr>
      </w:pPr>
    </w:p>
    <w:p>
      <w:pPr>
        <w:ind w:right="60" w:firstLine="709"/>
        <w:spacing w:after="0" w:line="266" w:lineRule="auto"/>
        <w:rPr>
          <w:sz w:val="20"/>
          <w:szCs w:val="20"/>
          <w:color w:val="auto"/>
        </w:rPr>
      </w:pPr>
      <w:r>
        <w:rPr>
          <w:rFonts w:ascii="Arial" w:cs="Arial" w:eastAsia="Arial" w:hAnsi="Arial"/>
          <w:sz w:val="19"/>
          <w:szCs w:val="19"/>
          <w:color w:val="auto"/>
        </w:rPr>
        <w:t>Our ability to continue to grow, operate our facilities and provide our services is dependent upon the expertise of certain key managerial and technical personnel. The market for skilled and experienced personnel is highly competitive. Our ability to retain key personnel and/or attract new qualified personnel may have an impact on our business and financial results and competition for experienced personnel in the labor market may result in increased costs for wages, overtime and employee recruitment. If our relationship with our employees were to deteriorate, we could be required to incur additional costs related to wages and benefits, inefficiencies in operations, unanticipated costs in sourcing temporary or third-party labor and interference with customer relations.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INDUSTRY RISKS</w:t>
      </w:r>
    </w:p>
    <w:p>
      <w:pPr>
        <w:spacing w:after="0" w:line="163"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The hazardous waste management business is subject to significant environmental liabilities.</w:t>
      </w:r>
    </w:p>
    <w:p>
      <w:pPr>
        <w:spacing w:after="0" w:line="172" w:lineRule="exact"/>
        <w:rPr>
          <w:sz w:val="20"/>
          <w:szCs w:val="20"/>
          <w:color w:val="auto"/>
        </w:rPr>
      </w:pPr>
    </w:p>
    <w:p>
      <w:pPr>
        <w:ind w:firstLine="709"/>
        <w:spacing w:after="0" w:line="281" w:lineRule="auto"/>
        <w:rPr>
          <w:sz w:val="20"/>
          <w:szCs w:val="20"/>
          <w:color w:val="auto"/>
        </w:rPr>
      </w:pPr>
      <w:r>
        <w:rPr>
          <w:rFonts w:ascii="Arial" w:cs="Arial" w:eastAsia="Arial" w:hAnsi="Arial"/>
          <w:sz w:val="18"/>
          <w:szCs w:val="18"/>
          <w:color w:val="auto"/>
        </w:rPr>
        <w:t>As of December 31, 2024, we have recorded closure, post-closure and remedial liabilities valued at $241.5 million, substantially all of which we assumed in connection with certain acquisitions. We calculate these environmental liabilities on a present value basis in accordance with generally accepted accounting principles, which take into consideration both the estimated cost to remediate such liabilities and the estimated timing of the remediation. We anticipate our environmental liabilities will be payable over many years and that cash flows generated from our operations will generally be sufficient to fund the payment of such liabilities when required. Though we have the ability to perform much of the required remediation efforts internally, which helps to limit the cost exposure, events not now anticipated (including future changes in environmental laws and regulations) could require that such payments be made earlier or in greater amounts than we now estimate, which could adversely affect our financial condition, results of operations and cash flows.</w:t>
      </w:r>
    </w:p>
    <w:p>
      <w:pPr>
        <w:spacing w:after="0" w:line="104" w:lineRule="exact"/>
        <w:rPr>
          <w:sz w:val="20"/>
          <w:szCs w:val="20"/>
          <w:color w:val="auto"/>
        </w:rPr>
      </w:pPr>
    </w:p>
    <w:p>
      <w:pPr>
        <w:ind w:right="180" w:firstLine="709"/>
        <w:spacing w:after="0" w:line="286" w:lineRule="auto"/>
        <w:rPr>
          <w:sz w:val="20"/>
          <w:szCs w:val="20"/>
          <w:color w:val="auto"/>
        </w:rPr>
      </w:pPr>
      <w:r>
        <w:rPr>
          <w:rFonts w:ascii="Arial" w:cs="Arial" w:eastAsia="Arial" w:hAnsi="Arial"/>
          <w:sz w:val="18"/>
          <w:szCs w:val="18"/>
          <w:color w:val="auto"/>
        </w:rPr>
        <w:t>We may also assume additional environmental liabilities as part of future acquisitions. Although we will endeavor to accurately estimate and limit environmental liabilities presented by the businesses or facilities to be acquired, some liabilities, including ones that may exist only because of the past operations of an acquired business or facility, may prove to be more difficult or costly to address than we then estimate. It is also possible that government officials responsible for enforcing environmental laws may believe an environmental liability is more significant than we then estimate, or that we will fail to identify or fully appreciate an existing liability before we become legally responsible to address it.</w:t>
      </w:r>
    </w:p>
    <w:p>
      <w:pPr>
        <w:spacing w:after="0" w:line="8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The hazardous waste management industry is subject to significant economic and business risks.</w:t>
      </w:r>
    </w:p>
    <w:p>
      <w:pPr>
        <w:spacing w:after="0" w:line="172" w:lineRule="exact"/>
        <w:rPr>
          <w:sz w:val="20"/>
          <w:szCs w:val="20"/>
          <w:color w:val="auto"/>
        </w:rPr>
      </w:pPr>
    </w:p>
    <w:p>
      <w:pPr>
        <w:ind w:right="80" w:firstLine="709"/>
        <w:spacing w:after="0" w:line="264" w:lineRule="auto"/>
        <w:rPr>
          <w:sz w:val="20"/>
          <w:szCs w:val="20"/>
          <w:color w:val="auto"/>
        </w:rPr>
      </w:pPr>
      <w:r>
        <w:rPr>
          <w:rFonts w:ascii="Arial" w:cs="Arial" w:eastAsia="Arial" w:hAnsi="Arial"/>
          <w:sz w:val="19"/>
          <w:szCs w:val="19"/>
          <w:color w:val="auto"/>
        </w:rPr>
        <w:t>The future operating results may be affected by such factors as our ability to utilize our facilities and workforce profitably in the face of price competition, maintain or increase market share in an industry which has in the past experienced significant downsizing and consolidation, realize benefits from cost reduction programs, collect incremental volumes of waste to be handled through our facilities from existing and acquired sales offices and service centers, obtain sufficient volumes of waste at prices which produce revenue sufficient to offset the operating costs of our facilities, minimize downtime and disruptions of operations and develop our field services business. In particular, economic downturns or recessionary conditions in North America, and increased outsourcing by North American manufacturers to plants located in countries with lower wage costs and less stringent environmental regulations, have adversely affected and may in the future adversely affect the demand for our services. Our business is also cyclical to the extent that it is dependent upon a stream of waste from cyclical industries such as chemical and petrochemical. If those cyclical industries slow significantly, the business that we receive from them would likely decrease.</w:t>
      </w:r>
    </w:p>
    <w:p>
      <w:pPr>
        <w:spacing w:after="0" w:line="106" w:lineRule="exact"/>
        <w:rPr>
          <w:sz w:val="20"/>
          <w:szCs w:val="20"/>
          <w:color w:val="auto"/>
        </w:rPr>
      </w:pPr>
    </w:p>
    <w:p>
      <w:pPr>
        <w:ind w:right="220" w:firstLine="709"/>
        <w:spacing w:after="0" w:line="264" w:lineRule="auto"/>
        <w:rPr>
          <w:sz w:val="20"/>
          <w:szCs w:val="20"/>
          <w:color w:val="auto"/>
        </w:rPr>
      </w:pPr>
      <w:r>
        <w:rPr>
          <w:rFonts w:ascii="Arial" w:cs="Arial" w:eastAsia="Arial" w:hAnsi="Arial"/>
          <w:sz w:val="20"/>
          <w:szCs w:val="20"/>
          <w:b w:val="1"/>
          <w:bCs w:val="1"/>
          <w:i w:val="1"/>
          <w:iCs w:val="1"/>
          <w:color w:val="auto"/>
        </w:rPr>
        <w:t>A significant portion of our business depends upon the demand for emergency response services at industrial facilities or on our roadways, railways or waterways, and other remedial projects and regulatory developments over which we have no control.</w:t>
      </w:r>
    </w:p>
    <w:p>
      <w:pPr>
        <w:spacing w:after="0" w:line="116" w:lineRule="exact"/>
        <w:rPr>
          <w:sz w:val="20"/>
          <w:szCs w:val="20"/>
          <w:color w:val="auto"/>
        </w:rPr>
      </w:pPr>
    </w:p>
    <w:p>
      <w:pPr>
        <w:ind w:right="160" w:firstLine="709"/>
        <w:spacing w:after="0" w:line="265" w:lineRule="auto"/>
        <w:rPr>
          <w:sz w:val="20"/>
          <w:szCs w:val="20"/>
          <w:color w:val="auto"/>
        </w:rPr>
      </w:pPr>
      <w:r>
        <w:rPr>
          <w:rFonts w:ascii="Arial" w:cs="Arial" w:eastAsia="Arial" w:hAnsi="Arial"/>
          <w:sz w:val="19"/>
          <w:szCs w:val="19"/>
          <w:color w:val="auto"/>
        </w:rPr>
        <w:t>Our operations, specifically within the Environmental Services segment, can be affected by the commencement and completion of cleanup of major spills and other events, customers’ decisions to undertake remedial projects, seasonal fluctuations due to weather and budgetary cycles influencing the timing of customers' spending for remedial activities, the timing of regulatory decisions relating to hazardous waste management projects, changes in regulations governing the management of hazardous waste, secular changes in the waste processing industry towards waste minimization and the propensity for delays in the demand for remedial services and changes in the myriad of government regulations governing our diverse operations. We do not control such factors and, as a result, our revenue and income can vary from quarter to quarter, and past financial results for certain quarters may not be a reliable indicator of future results for comparable quarters in subsequent years.</w:t>
      </w:r>
    </w:p>
    <w:p>
      <w:pPr>
        <w:sectPr>
          <w:pgSz w:w="11880" w:h="15480" w:orient="portrait"/>
          <w:cols w:equalWidth="0" w:num="1">
            <w:col w:w="10100"/>
          </w:cols>
          <w:pgMar w:left="880" w:top="56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880" w:h="15480" w:orient="portrait"/>
          <w:cols w:equalWidth="0" w:num="1">
            <w:col w:w="10100"/>
          </w:cols>
          <w:pgMar w:left="880" w:top="567" w:right="900" w:bottom="0" w:gutter="0" w:footer="0" w:header="0"/>
          <w:type w:val="continuous"/>
        </w:sectPr>
      </w:pPr>
    </w:p>
    <w:bookmarkStart w:id="27" w:name="page28"/>
    <w:bookmarkEnd w:id="27"/>
    <w:p>
      <w:pPr>
        <w:ind w:right="380" w:firstLine="709"/>
        <w:spacing w:after="0" w:line="281" w:lineRule="auto"/>
        <w:rPr>
          <w:sz w:val="20"/>
          <w:szCs w:val="20"/>
          <w:color w:val="auto"/>
        </w:rPr>
      </w:pPr>
      <w:r>
        <w:rPr>
          <w:rFonts w:ascii="Arial" w:cs="Arial" w:eastAsia="Arial" w:hAnsi="Arial"/>
          <w:sz w:val="20"/>
          <w:szCs w:val="20"/>
          <w:b w:val="1"/>
          <w:bCs w:val="1"/>
          <w:i w:val="1"/>
          <w:iCs w:val="1"/>
          <w:color w:val="auto"/>
        </w:rPr>
        <w:t>If our assumptions relating to expansion of our landfills should prove inaccurate, our results of operations and cash flow could be adversely affected.</w:t>
      </w:r>
    </w:p>
    <w:p>
      <w:pPr>
        <w:spacing w:after="0" w:line="100" w:lineRule="exact"/>
        <w:rPr>
          <w:sz w:val="20"/>
          <w:szCs w:val="20"/>
          <w:color w:val="auto"/>
        </w:rPr>
      </w:pPr>
    </w:p>
    <w:p>
      <w:pPr>
        <w:ind w:firstLine="709"/>
        <w:spacing w:after="0" w:line="280" w:lineRule="auto"/>
        <w:rPr>
          <w:sz w:val="20"/>
          <w:szCs w:val="20"/>
          <w:color w:val="auto"/>
        </w:rPr>
      </w:pPr>
      <w:r>
        <w:rPr>
          <w:rFonts w:ascii="Arial" w:cs="Arial" w:eastAsia="Arial" w:hAnsi="Arial"/>
          <w:sz w:val="18"/>
          <w:szCs w:val="18"/>
          <w:color w:val="auto"/>
        </w:rPr>
        <w:t>When we include permitted or probable expansion airspace in our calculation of available airspace, we adjust our landfill liabilities to the present value of projected costs for cell closure and landfill closure and post-closure. It is possible that our estimates or assumptions could ultimately turn out to be significantly different from actual results. In some cases we may be unsuccessful in obtaining an expansion permit or we may determine that an expansion permit is no longer probable. To the extent that such estimates, or the assumptions used to make those estimates, prove to be significantly different than actual results, or our beliefs that we will receive expansion permits change adversely in a significant manner, our landfill assets, including the assets incurred in the pursuit of the expansion, may be subject to impairment. Furthermore, lower prospective profitability may result due to increased interest accretion and depreciation or asset impairment charges related to the removal of previously included expansion airspace, in addition to the loss of future revenue related to the loss of probable airspace. Further, if our assumptions concerning expansion airspace should prove inaccurate, certain of our cash expenditures for closure of landfills could be accelerated and adversely affect our results of operations and cash flow.</w:t>
      </w:r>
    </w:p>
    <w:p>
      <w:pPr>
        <w:spacing w:after="0" w:line="94" w:lineRule="exact"/>
        <w:rPr>
          <w:sz w:val="20"/>
          <w:szCs w:val="20"/>
          <w:color w:val="auto"/>
        </w:rPr>
      </w:pPr>
    </w:p>
    <w:p>
      <w:pPr>
        <w:ind w:right="400" w:firstLine="709"/>
        <w:spacing w:after="0" w:line="281" w:lineRule="auto"/>
        <w:rPr>
          <w:sz w:val="20"/>
          <w:szCs w:val="20"/>
          <w:color w:val="auto"/>
        </w:rPr>
      </w:pPr>
      <w:r>
        <w:rPr>
          <w:rFonts w:ascii="Arial" w:cs="Arial" w:eastAsia="Arial" w:hAnsi="Arial"/>
          <w:sz w:val="20"/>
          <w:szCs w:val="20"/>
          <w:b w:val="1"/>
          <w:bCs w:val="1"/>
          <w:i w:val="1"/>
          <w:iCs w:val="1"/>
          <w:color w:val="auto"/>
        </w:rPr>
        <w:t>Reductions in the demand for oil products and automotive services and volatility in oil prices in the markets we serve may negatively affect certain of our businesses.</w:t>
      </w:r>
    </w:p>
    <w:p>
      <w:pPr>
        <w:spacing w:after="0" w:line="100" w:lineRule="exact"/>
        <w:rPr>
          <w:sz w:val="20"/>
          <w:szCs w:val="20"/>
          <w:color w:val="auto"/>
        </w:rPr>
      </w:pPr>
    </w:p>
    <w:p>
      <w:pPr>
        <w:ind w:firstLine="709"/>
        <w:spacing w:after="0" w:line="268" w:lineRule="auto"/>
        <w:rPr>
          <w:sz w:val="20"/>
          <w:szCs w:val="20"/>
          <w:color w:val="auto"/>
        </w:rPr>
      </w:pPr>
      <w:r>
        <w:rPr>
          <w:rFonts w:ascii="Arial" w:cs="Arial" w:eastAsia="Arial" w:hAnsi="Arial"/>
          <w:sz w:val="19"/>
          <w:szCs w:val="19"/>
          <w:color w:val="auto"/>
        </w:rPr>
        <w:t>Our operations, predominately within the SKSS segment, involve collecting used oil, re-refining a portion of such used oil into base and blended lubricating oils and then selling both base and blended oil products to customers. Reduced demand for oil products, whether temporary due to market conditions or a lasting long-term trend, may also lower demand for our services of collecting used oil and, in turn, reduce our feedstock oil volumes for processing through our re-refineries. There are significant fixed costs associated with operating our re-refinery facilities and should production volumes at these facilities decrease, our results of operations and profitability may be materially impacted.</w:t>
      </w:r>
    </w:p>
    <w:p>
      <w:pPr>
        <w:spacing w:after="0" w:line="112" w:lineRule="exact"/>
        <w:rPr>
          <w:sz w:val="20"/>
          <w:szCs w:val="20"/>
          <w:color w:val="auto"/>
        </w:rPr>
      </w:pPr>
    </w:p>
    <w:p>
      <w:pPr>
        <w:ind w:right="140" w:firstLine="709"/>
        <w:spacing w:after="0" w:line="293" w:lineRule="auto"/>
        <w:rPr>
          <w:sz w:val="20"/>
          <w:szCs w:val="20"/>
          <w:color w:val="auto"/>
        </w:rPr>
      </w:pPr>
      <w:r>
        <w:rPr>
          <w:rFonts w:ascii="Arial" w:cs="Arial" w:eastAsia="Arial" w:hAnsi="Arial"/>
          <w:sz w:val="18"/>
          <w:szCs w:val="18"/>
          <w:color w:val="auto"/>
        </w:rPr>
        <w:t>Factors such as geopolitical developments, supply and demand imbalances and macroeconomic shifts may contribute to heightened oil price volatility in global oil markets. This volatility may lead to reduced profitability and increased operating costs in our oil operations and also may impact the cost of fuels throughout our transportation network and facilities. These volatility impacts may affect the Company’s financial condition, results of operations and cash flows.</w:t>
      </w:r>
    </w:p>
    <w:p>
      <w:pPr>
        <w:spacing w:after="0" w:line="92" w:lineRule="exact"/>
        <w:rPr>
          <w:sz w:val="20"/>
          <w:szCs w:val="20"/>
          <w:color w:val="auto"/>
        </w:rPr>
      </w:pPr>
    </w:p>
    <w:p>
      <w:pPr>
        <w:ind w:right="280" w:firstLine="709"/>
        <w:spacing w:after="0" w:line="289" w:lineRule="auto"/>
        <w:rPr>
          <w:sz w:val="20"/>
          <w:szCs w:val="20"/>
          <w:color w:val="auto"/>
        </w:rPr>
      </w:pPr>
      <w:r>
        <w:rPr>
          <w:rFonts w:ascii="Arial" w:cs="Arial" w:eastAsia="Arial" w:hAnsi="Arial"/>
          <w:sz w:val="18"/>
          <w:szCs w:val="18"/>
          <w:color w:val="auto"/>
        </w:rPr>
        <w:t>Other businesses, including our Safety-Kleen branches’ core service offerings of containerized waste collection services, parts washer services and vacuum services, are inextricably connected to the automotive industry. Miles driven and routine automotive maintenance, along with other automotive industry trends, impact demand for parts-washer services, containerized waste collections and vacuum services. Declines in this industry, whether temporary or a lasting trend, may reduce the demand for these core service offerings which may adversely impact our financial results.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LEGAL, ENVIRONMENTAL AND REGULATORY COMPLIANCE RISKS</w:t>
      </w:r>
    </w:p>
    <w:p>
      <w:pPr>
        <w:spacing w:after="0" w:line="163"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Our businesses are subject to numerous statutory and regulatory requirements, which may increase in the future.</w:t>
      </w:r>
    </w:p>
    <w:p>
      <w:pPr>
        <w:spacing w:after="0" w:line="218" w:lineRule="exact"/>
        <w:rPr>
          <w:sz w:val="20"/>
          <w:szCs w:val="20"/>
          <w:color w:val="auto"/>
        </w:rPr>
      </w:pPr>
    </w:p>
    <w:p>
      <w:pPr>
        <w:ind w:firstLine="709"/>
        <w:spacing w:after="0" w:line="251" w:lineRule="auto"/>
        <w:rPr>
          <w:sz w:val="20"/>
          <w:szCs w:val="20"/>
          <w:color w:val="auto"/>
        </w:rPr>
      </w:pPr>
      <w:r>
        <w:rPr>
          <w:rFonts w:ascii="Arial" w:cs="Arial" w:eastAsia="Arial" w:hAnsi="Arial"/>
          <w:sz w:val="20"/>
          <w:szCs w:val="20"/>
          <w:color w:val="auto"/>
        </w:rPr>
        <w:t>Our businesses are subject to numerous statutory and regulatory requirements. Our ability to continue to hold licenses and permits required for our businesses is subject to maintaining satisfactory compliance with such requirements. We may incur significant costs to maintain compliance. Our ability to obtain modifications to our permits or obtain permits to expand our facilities may be met with resistance, substantial statutory or regulatory requirements or may be too costly to achieve. These requirements may cause us to postpone or cancel our plans. Future statutory and regulatory requirements, including any legislation focused on combating climate change, may require significant cost to comply or may require changes to our products or services.</w:t>
      </w:r>
    </w:p>
    <w:p>
      <w:pPr>
        <w:spacing w:after="0" w:line="129" w:lineRule="exact"/>
        <w:rPr>
          <w:sz w:val="20"/>
          <w:szCs w:val="20"/>
          <w:color w:val="auto"/>
        </w:rPr>
      </w:pPr>
    </w:p>
    <w:p>
      <w:pPr>
        <w:ind w:right="360" w:firstLine="709"/>
        <w:spacing w:after="0" w:line="261" w:lineRule="auto"/>
        <w:rPr>
          <w:sz w:val="20"/>
          <w:szCs w:val="20"/>
          <w:color w:val="auto"/>
        </w:rPr>
      </w:pPr>
      <w:r>
        <w:rPr>
          <w:rFonts w:ascii="Arial" w:cs="Arial" w:eastAsia="Arial" w:hAnsi="Arial"/>
          <w:sz w:val="20"/>
          <w:szCs w:val="20"/>
          <w:color w:val="auto"/>
        </w:rPr>
        <w:t>Regulators, in addition to investors, customers and the public in general, have been increasingly focused on environmental, social and cybersecurity practices of companies. We may be subject to additional regulations and disclosure requirements in the future arising from the increased focus in these areas.</w:t>
      </w:r>
    </w:p>
    <w:p>
      <w:pPr>
        <w:spacing w:after="0" w:line="116" w:lineRule="exact"/>
        <w:rPr>
          <w:sz w:val="20"/>
          <w:szCs w:val="20"/>
          <w:color w:val="auto"/>
        </w:rPr>
      </w:pPr>
    </w:p>
    <w:p>
      <w:pPr>
        <w:ind w:right="20" w:firstLine="709"/>
        <w:spacing w:after="0" w:line="254" w:lineRule="auto"/>
        <w:rPr>
          <w:sz w:val="20"/>
          <w:szCs w:val="20"/>
          <w:color w:val="auto"/>
        </w:rPr>
      </w:pPr>
      <w:r>
        <w:rPr>
          <w:rFonts w:ascii="Arial" w:cs="Arial" w:eastAsia="Arial" w:hAnsi="Arial"/>
          <w:sz w:val="20"/>
          <w:szCs w:val="20"/>
          <w:color w:val="auto"/>
        </w:rPr>
        <w:t>The occurrence of any of the foregoing could have a material impact on our financial condition or results of operations. Further, although we are very committed to compliance and safety, we could be subject to significant fines and penalties, our reputation could be adversely affected and/or we may incur significant costs to maintain or improve our compliance, if our businesses, or third-parties with whom we have a relationship, were to fail to comply with such statutory and regulatory requirements.</w:t>
      </w:r>
    </w:p>
    <w:p>
      <w:pPr>
        <w:spacing w:after="0" w:line="115" w:lineRule="exact"/>
        <w:rPr>
          <w:sz w:val="20"/>
          <w:szCs w:val="20"/>
          <w:color w:val="auto"/>
        </w:rPr>
      </w:pPr>
    </w:p>
    <w:p>
      <w:pPr>
        <w:jc w:val="both"/>
        <w:ind w:right="340" w:firstLine="709"/>
        <w:spacing w:after="0" w:line="411" w:lineRule="auto"/>
        <w:rPr>
          <w:sz w:val="20"/>
          <w:szCs w:val="20"/>
          <w:color w:val="auto"/>
        </w:rPr>
      </w:pPr>
      <w:r>
        <w:rPr>
          <w:rFonts w:ascii="Arial" w:cs="Arial" w:eastAsia="Arial" w:hAnsi="Arial"/>
          <w:sz w:val="16"/>
          <w:szCs w:val="16"/>
          <w:b w:val="1"/>
          <w:bCs w:val="1"/>
          <w:i w:val="1"/>
          <w:iCs w:val="1"/>
          <w:color w:val="auto"/>
        </w:rPr>
        <w:t>The extensive environmental regulations to which we are subject, including potential climate change legislation and regulations, may increase our costs and potential liabilities and limit our ability to operate and expand our facilities.</w:t>
      </w:r>
    </w:p>
    <w:p>
      <w:pPr>
        <w:spacing w:after="0" w:line="8" w:lineRule="exact"/>
        <w:rPr>
          <w:sz w:val="20"/>
          <w:szCs w:val="20"/>
          <w:color w:val="auto"/>
        </w:rPr>
      </w:pPr>
    </w:p>
    <w:p>
      <w:pPr>
        <w:ind w:right="620" w:firstLine="709"/>
        <w:spacing w:after="0" w:line="405" w:lineRule="auto"/>
        <w:rPr>
          <w:sz w:val="20"/>
          <w:szCs w:val="20"/>
          <w:color w:val="auto"/>
        </w:rPr>
      </w:pPr>
      <w:r>
        <w:rPr>
          <w:rFonts w:ascii="Arial" w:cs="Arial" w:eastAsia="Arial" w:hAnsi="Arial"/>
          <w:sz w:val="16"/>
          <w:szCs w:val="16"/>
          <w:color w:val="auto"/>
        </w:rPr>
        <w:t>Our operations and those of others in the environmental services industry are subject to extensive federal, state, provincial and local environmental requirements in both the United States and Canada, including those outlined in the</w:t>
      </w:r>
    </w:p>
    <w:p>
      <w:pPr>
        <w:sectPr>
          <w:pgSz w:w="11880" w:h="15480" w:orient="portrait"/>
          <w:cols w:equalWidth="0" w:num="1">
            <w:col w:w="10100"/>
          </w:cols>
          <w:pgMar w:left="880" w:top="567" w:right="900" w:bottom="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880" w:h="15480" w:orient="portrait"/>
          <w:cols w:equalWidth="0" w:num="1">
            <w:col w:w="10100"/>
          </w:cols>
          <w:pgMar w:left="880" w:top="567" w:right="900" w:bottom="0" w:gutter="0" w:footer="0" w:header="0"/>
          <w:type w:val="continuous"/>
        </w:sectPr>
      </w:pPr>
    </w:p>
    <w:bookmarkStart w:id="28" w:name="page29"/>
    <w:bookmarkEnd w:id="28"/>
    <w:p>
      <w:pPr>
        <w:ind w:right="40"/>
        <w:spacing w:after="0" w:line="264" w:lineRule="auto"/>
        <w:rPr>
          <w:sz w:val="20"/>
          <w:szCs w:val="20"/>
          <w:color w:val="auto"/>
        </w:rPr>
      </w:pPr>
      <w:r>
        <w:rPr>
          <w:rFonts w:ascii="Arial" w:cs="Arial" w:eastAsia="Arial" w:hAnsi="Arial"/>
          <w:sz w:val="19"/>
          <w:szCs w:val="19"/>
          <w:color w:val="auto"/>
        </w:rPr>
        <w:t>“Government Regulations” section in Item 1 of this report on Form 10-K. If we fail to comply with regulations governing the transport, handling and disposal of hazardous materials, such failure could negatively impact our ability to collect, process and ultimately dispose of hazardous waste generated by our customers. Efforts to conduct our operations in compliance with all applicable laws and regulations, require programs to promote compliance, such as training employees and customers, purchasing health and safety equipment and in some cases hiring outside consultants and lawyers. Even with these programs, we and other companies in the environmental services industry are routinely faced with government enforcement proceedings, which can result in fines or other sanctions and require expenditures for remedial work on waste management facilities and contaminated sites. Certain of these laws impose strict and, under certain circumstances, joint and several liability on current and former owners and operators of facilities that release regulated materials or that generate those materials and arrange for their disposal or treatment at contaminated sites. Such liabilities can relate to required cleanup of releases of regulated materials and related natural resource damages.</w:t>
      </w:r>
    </w:p>
    <w:p>
      <w:pPr>
        <w:spacing w:after="0" w:line="114" w:lineRule="exact"/>
        <w:rPr>
          <w:sz w:val="20"/>
          <w:szCs w:val="20"/>
          <w:color w:val="auto"/>
        </w:rPr>
      </w:pPr>
    </w:p>
    <w:p>
      <w:pPr>
        <w:ind w:right="40" w:firstLine="709"/>
        <w:spacing w:after="0" w:line="264" w:lineRule="auto"/>
        <w:rPr>
          <w:sz w:val="20"/>
          <w:szCs w:val="20"/>
          <w:color w:val="auto"/>
        </w:rPr>
      </w:pPr>
      <w:r>
        <w:rPr>
          <w:rFonts w:ascii="Arial" w:cs="Arial" w:eastAsia="Arial" w:hAnsi="Arial"/>
          <w:sz w:val="19"/>
          <w:szCs w:val="19"/>
          <w:color w:val="auto"/>
        </w:rPr>
        <w:t>From time to time, fines and/or penalties have been levied upon the Company in government environmental enforcement proceedings. Such fines typically have related to our waste treatment, storage and disposal operations. Although none of these fines or penalties that we have paid in the past have had a material adverse effect upon us, future fines and penalties may be more substantial. Further, in the future we may be required to make substantial capital expenditures as a result of government proceedings which would have a negative impact on our financial condition, cash flow and results of operations. Regulators also have the power to suspend or revoke permits or licenses needed for operation of our plants, equipment and vehicles based on, among other factors, our compliance record, and customers may decide not to use a particular disposal facility or do business with us because of concerns about our compliance record. Suspension or revocation of permits or licenses would impact our operations and could have a material impact on our financial results. Although we have never had any of our facilities’ operating permits revoked, suspended or non-renewed involuntarily, it is possible that such an event could occur in the future.</w:t>
      </w:r>
    </w:p>
    <w:p>
      <w:pPr>
        <w:spacing w:after="0" w:line="114" w:lineRule="exact"/>
        <w:rPr>
          <w:sz w:val="20"/>
          <w:szCs w:val="20"/>
          <w:color w:val="auto"/>
        </w:rPr>
      </w:pPr>
    </w:p>
    <w:p>
      <w:pPr>
        <w:ind w:right="20" w:firstLine="709"/>
        <w:spacing w:after="0" w:line="280" w:lineRule="auto"/>
        <w:rPr>
          <w:sz w:val="20"/>
          <w:szCs w:val="20"/>
          <w:color w:val="auto"/>
        </w:rPr>
      </w:pPr>
      <w:r>
        <w:rPr>
          <w:rFonts w:ascii="Arial" w:cs="Arial" w:eastAsia="Arial" w:hAnsi="Arial"/>
          <w:sz w:val="18"/>
          <w:szCs w:val="18"/>
          <w:color w:val="auto"/>
        </w:rPr>
        <w:t>Some environmental laws and regulations impose liability and responsibility on present and former owners, operators or users of facilities and sites for contamination at such facilities and sites without regard to causation or knowledge of contamination. Past practices have resulted in releases of regulated materials at and from certain of our facilities, or the disposal of regulated materials at third-party sites, which may require investigation and remediation, and potentially result in claims of personal injury, property damage and damages to natural resources.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might trigger compliance requirements that are not applicable to operating facilities. We are currently conducting remedial activities at certain of our facilities and paying a portion of the remediation costs at certain sites owned by third-parties. While, based on available information, we believe these remedial activities will not result in a material effect upon our operations or financial condition, these activities or the discovery of previously unknown conditions could result in material costs.</w:t>
      </w:r>
    </w:p>
    <w:p>
      <w:pPr>
        <w:spacing w:after="0" w:line="102" w:lineRule="exact"/>
        <w:rPr>
          <w:sz w:val="20"/>
          <w:szCs w:val="20"/>
          <w:color w:val="auto"/>
        </w:rPr>
      </w:pPr>
    </w:p>
    <w:p>
      <w:pPr>
        <w:ind w:firstLine="621"/>
        <w:spacing w:after="0" w:line="256" w:lineRule="auto"/>
        <w:rPr>
          <w:sz w:val="20"/>
          <w:szCs w:val="20"/>
          <w:color w:val="auto"/>
        </w:rPr>
      </w:pPr>
      <w:r>
        <w:rPr>
          <w:rFonts w:ascii="Arial" w:cs="Arial" w:eastAsia="Arial" w:hAnsi="Arial"/>
          <w:sz w:val="20"/>
          <w:szCs w:val="20"/>
          <w:color w:val="auto"/>
        </w:rPr>
        <w:t>In addition to the costs of complying with environmental laws and regulations, we incur costs defending against environmental litigation brought by government agencies and private parties. We are now, and may in the future be, a defendant in lawsuits brought by parties alleging environmental damage, personal injury and/or property damage, which may result in our payment of significant amounts.</w:t>
      </w:r>
    </w:p>
    <w:p>
      <w:pPr>
        <w:spacing w:after="0" w:line="122" w:lineRule="exact"/>
        <w:rPr>
          <w:sz w:val="20"/>
          <w:szCs w:val="20"/>
          <w:color w:val="auto"/>
        </w:rPr>
      </w:pPr>
    </w:p>
    <w:p>
      <w:pPr>
        <w:ind w:right="140" w:firstLine="621"/>
        <w:spacing w:after="0" w:line="270" w:lineRule="auto"/>
        <w:rPr>
          <w:sz w:val="20"/>
          <w:szCs w:val="20"/>
          <w:color w:val="auto"/>
        </w:rPr>
      </w:pPr>
      <w:r>
        <w:rPr>
          <w:rFonts w:ascii="Arial" w:cs="Arial" w:eastAsia="Arial" w:hAnsi="Arial"/>
          <w:sz w:val="19"/>
          <w:szCs w:val="19"/>
          <w:color w:val="auto"/>
        </w:rPr>
        <w:t>The landscape of environmental regulation to which we are subject can change. Changes to environmental regulation often present new business opportunities for us; however, such changes may also result in increased operating and compliance costs or, in more significant cases, changes to how our facilities are able to operate. We constantly monitor the landscape of environmental regulation; however, our ability to navigate through any changes to such regulations may result in a material effect on our operations, cash flows or financial condition.</w:t>
      </w:r>
    </w:p>
    <w:p>
      <w:pPr>
        <w:spacing w:after="0" w:line="111" w:lineRule="exact"/>
        <w:rPr>
          <w:sz w:val="20"/>
          <w:szCs w:val="20"/>
          <w:color w:val="auto"/>
        </w:rPr>
      </w:pPr>
    </w:p>
    <w:p>
      <w:pPr>
        <w:ind w:right="60" w:firstLine="621"/>
        <w:spacing w:after="0" w:line="256" w:lineRule="auto"/>
        <w:rPr>
          <w:sz w:val="20"/>
          <w:szCs w:val="20"/>
          <w:color w:val="auto"/>
        </w:rPr>
      </w:pPr>
      <w:r>
        <w:rPr>
          <w:rFonts w:ascii="Arial" w:cs="Arial" w:eastAsia="Arial" w:hAnsi="Arial"/>
          <w:sz w:val="20"/>
          <w:szCs w:val="20"/>
          <w:color w:val="auto"/>
        </w:rPr>
        <w:t>Environmental and land use laws also impact our ability to expand our facilities. In addition, we are required to obtain government permits to operate our facilities, including all of our landfills. Even if we comply with all applicable environmental laws, we might not be able to obtain requisite permits from applicable government authorities to extend or modify such permits to fit our business needs.</w:t>
      </w:r>
    </w:p>
    <w:p>
      <w:pPr>
        <w:spacing w:after="0" w:line="114" w:lineRule="exact"/>
        <w:rPr>
          <w:sz w:val="20"/>
          <w:szCs w:val="20"/>
          <w:color w:val="auto"/>
        </w:rPr>
      </w:pPr>
    </w:p>
    <w:p>
      <w:pPr>
        <w:ind w:right="400" w:firstLine="709"/>
        <w:spacing w:after="0" w:line="281" w:lineRule="auto"/>
        <w:rPr>
          <w:sz w:val="20"/>
          <w:szCs w:val="20"/>
          <w:color w:val="auto"/>
        </w:rPr>
      </w:pPr>
      <w:r>
        <w:rPr>
          <w:rFonts w:ascii="Arial" w:cs="Arial" w:eastAsia="Arial" w:hAnsi="Arial"/>
          <w:sz w:val="20"/>
          <w:szCs w:val="20"/>
          <w:b w:val="1"/>
          <w:bCs w:val="1"/>
          <w:i w:val="1"/>
          <w:iCs w:val="1"/>
          <w:color w:val="auto"/>
        </w:rPr>
        <w:t>Environmental laws and regulations have adversely affected and may adversely affect parts cleaning and other solvent related services.</w:t>
      </w:r>
    </w:p>
    <w:p>
      <w:pPr>
        <w:spacing w:after="0" w:line="100" w:lineRule="exact"/>
        <w:rPr>
          <w:sz w:val="20"/>
          <w:szCs w:val="20"/>
          <w:color w:val="auto"/>
        </w:rPr>
      </w:pPr>
    </w:p>
    <w:p>
      <w:pPr>
        <w:ind w:right="40" w:firstLine="709"/>
        <w:spacing w:after="0" w:line="327" w:lineRule="auto"/>
        <w:rPr>
          <w:sz w:val="20"/>
          <w:szCs w:val="20"/>
          <w:color w:val="auto"/>
        </w:rPr>
      </w:pPr>
      <w:r>
        <w:rPr>
          <w:rFonts w:ascii="Arial" w:cs="Arial" w:eastAsia="Arial" w:hAnsi="Arial"/>
          <w:sz w:val="16"/>
          <w:szCs w:val="16"/>
          <w:color w:val="auto"/>
        </w:rPr>
        <w:t>In connection with our parts cleaning and other solvent related services, we have been subject to fines and certain orders requiring us to take environmental remedial action. Recent and potential changes in environmental laws and regulations may also adversely affect future parts cleaning and other solvent related services. Interpretation or enforcement of existing laws and regulations, or the adoption of new laws and regulations, may require a modification or curtailment of our parts cleaning operations or replacement or upgrading our facilities or equipment at substantial cost, which we may not be able to pass on to our customers, and we may choose to indemnify our customers from any fines or penalties they may incur as a result of these</w:t>
      </w:r>
    </w:p>
    <w:p>
      <w:pPr>
        <w:sectPr>
          <w:pgSz w:w="11880" w:h="15480" w:orient="portrait"/>
          <w:cols w:equalWidth="0" w:num="1">
            <w:col w:w="10100"/>
          </w:cols>
          <w:pgMar w:left="880" w:top="575" w:right="900" w:bottom="0"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880" w:h="15480" w:orient="portrait"/>
          <w:cols w:equalWidth="0" w:num="1">
            <w:col w:w="10100"/>
          </w:cols>
          <w:pgMar w:left="880" w:top="575" w:right="900" w:bottom="0" w:gutter="0" w:footer="0" w:header="0"/>
          <w:type w:val="continuous"/>
        </w:sectPr>
      </w:pPr>
    </w:p>
    <w:bookmarkStart w:id="29" w:name="page30"/>
    <w:bookmarkEnd w:id="29"/>
    <w:p>
      <w:pPr>
        <w:spacing w:after="0" w:line="256" w:lineRule="auto"/>
        <w:rPr>
          <w:sz w:val="20"/>
          <w:szCs w:val="20"/>
          <w:color w:val="auto"/>
        </w:rPr>
      </w:pPr>
      <w:r>
        <w:rPr>
          <w:rFonts w:ascii="Arial" w:cs="Arial" w:eastAsia="Arial" w:hAnsi="Arial"/>
          <w:sz w:val="20"/>
          <w:szCs w:val="20"/>
          <w:color w:val="auto"/>
        </w:rPr>
        <w:t>new laws and regulations. On the other hand, in some cases if new laws and regulations are less stringent, our customers or competitors may be able to manage waste more effectively themselves, which could decrease the demand for parts cleaning and other solvent related services or increase competition, which could adversely affect the results of operations, most predominately within the Environmental Services segment.</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9"/>
          <w:szCs w:val="19"/>
          <w:b w:val="1"/>
          <w:bCs w:val="1"/>
          <w:i w:val="1"/>
          <w:iCs w:val="1"/>
          <w:color w:val="auto"/>
        </w:rPr>
        <w:t>We are subject to existing and potential product liability lawsuits relating to parts washer services.</w:t>
      </w:r>
    </w:p>
    <w:p>
      <w:pPr>
        <w:spacing w:after="0" w:line="184" w:lineRule="exact"/>
        <w:rPr>
          <w:sz w:val="20"/>
          <w:szCs w:val="20"/>
          <w:color w:val="auto"/>
        </w:rPr>
      </w:pPr>
    </w:p>
    <w:p>
      <w:pPr>
        <w:ind w:right="80" w:firstLine="709"/>
        <w:spacing w:after="0" w:line="265" w:lineRule="auto"/>
        <w:rPr>
          <w:sz w:val="20"/>
          <w:szCs w:val="20"/>
          <w:color w:val="auto"/>
        </w:rPr>
      </w:pPr>
      <w:r>
        <w:rPr>
          <w:rFonts w:ascii="Arial" w:cs="Arial" w:eastAsia="Arial" w:hAnsi="Arial"/>
          <w:sz w:val="19"/>
          <w:szCs w:val="19"/>
          <w:color w:val="auto"/>
        </w:rPr>
        <w:t>Clean Harbors, through its Safety-Kleen branded operations within the Environmental Services segment, from time to time has been named as a defendant in product liability lawsuits in various courts and jurisdictions throughout the United States. As of December 31, 2024, the Company was involved in 68 such proceedings (including cases which have been settled but not formally dismissed) wherein persons claim personal injury resulting from the use of its parts cleaning equipment or cleaning products. These proceedings typically involve allegations that the solvents used in the parts cleaning equipment contain contaminants or that the solvent recycling process does not effectively remove the contaminants that become entrained in the solvents during their use. In addition, certain claimants assert that the Company failed to adequately warn the product user of potential risks, including a historic failure to warn that such solvents contain trace amounts of toxic or hazardous substances such as benzene.</w:t>
      </w:r>
    </w:p>
    <w:p>
      <w:pPr>
        <w:spacing w:after="0" w:line="114" w:lineRule="exact"/>
        <w:rPr>
          <w:sz w:val="20"/>
          <w:szCs w:val="20"/>
          <w:color w:val="auto"/>
        </w:rPr>
      </w:pPr>
    </w:p>
    <w:p>
      <w:pPr>
        <w:ind w:right="140" w:firstLine="709"/>
        <w:spacing w:after="0" w:line="281" w:lineRule="auto"/>
        <w:rPr>
          <w:sz w:val="20"/>
          <w:szCs w:val="20"/>
          <w:color w:val="auto"/>
        </w:rPr>
      </w:pPr>
      <w:r>
        <w:rPr>
          <w:rFonts w:ascii="Arial" w:cs="Arial" w:eastAsia="Arial" w:hAnsi="Arial"/>
          <w:sz w:val="18"/>
          <w:szCs w:val="18"/>
          <w:color w:val="auto"/>
        </w:rPr>
        <w:t>We maintain insurance that we believe will provide coverage for these claims (over amounts accrued for self-insured retentions and deductibles in certain limited cases), though this insurance may not provide coverage for potential awards of punitive damages. Although we have vigorously defended and will continue to vigorously defend the Company and the safety of its products against all of these claims, these lawsuits are subject to many uncertainties and outcomes that cannot be predicted with assurance. We may also be named in additional product liability lawsuits in the future, including claims for which insurance coverage may not be available. If any one or more of these lawsuits were decided unfavorably and the plaintiffs were awarded punitive damages, or if insurance coverage were not available for any such claim, our financial condition and results of operations could be materially and adversely affected. Additionally, if any one or more of these lawsuits were decided unfavorably, such outcome may encourage more lawsuits against us.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STRATEGIC TRANSACTION RISKS</w:t>
      </w:r>
    </w:p>
    <w:p>
      <w:pPr>
        <w:spacing w:after="0" w:line="163" w:lineRule="exact"/>
        <w:rPr>
          <w:sz w:val="20"/>
          <w:szCs w:val="20"/>
          <w:color w:val="auto"/>
        </w:rPr>
      </w:pPr>
    </w:p>
    <w:p>
      <w:pPr>
        <w:ind w:right="340" w:firstLine="709"/>
        <w:spacing w:after="0" w:line="281" w:lineRule="auto"/>
        <w:rPr>
          <w:sz w:val="20"/>
          <w:szCs w:val="20"/>
          <w:color w:val="auto"/>
        </w:rPr>
      </w:pPr>
      <w:r>
        <w:rPr>
          <w:rFonts w:ascii="Arial" w:cs="Arial" w:eastAsia="Arial" w:hAnsi="Arial"/>
          <w:sz w:val="20"/>
          <w:szCs w:val="20"/>
          <w:b w:val="1"/>
          <w:bCs w:val="1"/>
          <w:i w:val="1"/>
          <w:iCs w:val="1"/>
          <w:color w:val="auto"/>
        </w:rPr>
        <w:t>Failure to correctly identify and execute upon strategic acquisitions and divestitures could adversely impact our future results.</w:t>
      </w:r>
    </w:p>
    <w:p>
      <w:pPr>
        <w:spacing w:after="0" w:line="100" w:lineRule="exact"/>
        <w:rPr>
          <w:sz w:val="20"/>
          <w:szCs w:val="20"/>
          <w:color w:val="auto"/>
        </w:rPr>
      </w:pPr>
    </w:p>
    <w:p>
      <w:pPr>
        <w:ind w:right="80" w:firstLine="709"/>
        <w:spacing w:after="0" w:line="251" w:lineRule="auto"/>
        <w:rPr>
          <w:sz w:val="20"/>
          <w:szCs w:val="20"/>
          <w:color w:val="auto"/>
        </w:rPr>
      </w:pPr>
      <w:r>
        <w:rPr>
          <w:rFonts w:ascii="Arial" w:cs="Arial" w:eastAsia="Arial" w:hAnsi="Arial"/>
          <w:sz w:val="20"/>
          <w:szCs w:val="20"/>
          <w:color w:val="auto"/>
        </w:rPr>
        <w:t>We continuously evaluate potential acquisition candidates and from time to time acquire companies that we believe will strategically fit into our business and growth objectives. If we are unable to successfully identify, integrate and develop acquired businesses, we could fail to achieve anticipated synergies and cost savings, including any expected increases in revenues and operating results, which could have a material adverse effect on our financial results. We also continually review our portfolio of assets to determine the extent to which assets or groups of assets are contributing to our objectives and growth strategy. When we decide to sell a business or specific asset group, we may be unable to do so on satisfactory terms and within our anticipated time frame.</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Future acquisitions of companies may expose us to unknown liabilities.</w:t>
      </w:r>
    </w:p>
    <w:p>
      <w:pPr>
        <w:spacing w:after="0" w:line="172" w:lineRule="exact"/>
        <w:rPr>
          <w:sz w:val="20"/>
          <w:szCs w:val="20"/>
          <w:color w:val="auto"/>
        </w:rPr>
      </w:pPr>
    </w:p>
    <w:p>
      <w:pPr>
        <w:ind w:firstLine="709"/>
        <w:spacing w:after="0" w:line="254" w:lineRule="auto"/>
        <w:rPr>
          <w:sz w:val="20"/>
          <w:szCs w:val="20"/>
          <w:color w:val="auto"/>
        </w:rPr>
      </w:pPr>
      <w:r>
        <w:rPr>
          <w:rFonts w:ascii="Arial" w:cs="Arial" w:eastAsia="Arial" w:hAnsi="Arial"/>
          <w:sz w:val="20"/>
          <w:szCs w:val="20"/>
          <w:color w:val="auto"/>
        </w:rPr>
        <w:t>If there are unknown liabilities or other obligations, including contingent liabilities, arising from potential acquisitions, our business could be materially affected. We may learn additional information about potential acquired companies that adversely affects us, such as unknown liabilities or other issues relating to internal controls over financial reporting, issues that could affect our ability to comply with the Sarbanes-Oxley Act or issues that could affect our ability to comply with other applicable laws.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INSURANCE, ACCOUNTING AND TAX RELATED RISKS</w:t>
      </w:r>
    </w:p>
    <w:p>
      <w:pPr>
        <w:spacing w:after="0" w:line="163" w:lineRule="exact"/>
        <w:rPr>
          <w:sz w:val="20"/>
          <w:szCs w:val="20"/>
          <w:color w:val="auto"/>
        </w:rPr>
      </w:pPr>
    </w:p>
    <w:p>
      <w:pPr>
        <w:ind w:right="160" w:firstLine="709"/>
        <w:spacing w:after="0" w:line="264" w:lineRule="auto"/>
        <w:rPr>
          <w:sz w:val="20"/>
          <w:szCs w:val="20"/>
          <w:color w:val="auto"/>
        </w:rPr>
      </w:pPr>
      <w:r>
        <w:rPr>
          <w:rFonts w:ascii="Arial" w:cs="Arial" w:eastAsia="Arial" w:hAnsi="Arial"/>
          <w:sz w:val="20"/>
          <w:szCs w:val="20"/>
          <w:b w:val="1"/>
          <w:bCs w:val="1"/>
          <w:i w:val="1"/>
          <w:iCs w:val="1"/>
          <w:color w:val="auto"/>
        </w:rPr>
        <w:t>If we become unable to obtain, at reasonable cost, the insurance, surety bonds, letters of credit and other forms of financial assurance required for our facilities and operations, our business and results of operations would be adversely affected.</w:t>
      </w:r>
    </w:p>
    <w:p>
      <w:pPr>
        <w:spacing w:after="0" w:line="116" w:lineRule="exact"/>
        <w:rPr>
          <w:sz w:val="20"/>
          <w:szCs w:val="20"/>
          <w:color w:val="auto"/>
        </w:rPr>
      </w:pPr>
    </w:p>
    <w:p>
      <w:pPr>
        <w:ind w:right="260" w:firstLine="709"/>
        <w:spacing w:after="0" w:line="286" w:lineRule="auto"/>
        <w:rPr>
          <w:sz w:val="20"/>
          <w:szCs w:val="20"/>
          <w:color w:val="auto"/>
        </w:rPr>
      </w:pPr>
      <w:r>
        <w:rPr>
          <w:rFonts w:ascii="Arial" w:cs="Arial" w:eastAsia="Arial" w:hAnsi="Arial"/>
          <w:sz w:val="18"/>
          <w:szCs w:val="18"/>
          <w:color w:val="auto"/>
        </w:rPr>
        <w:t>We are required to provide substantial amounts of financial assurance to government agencies for closure and post-closure care of our licensed hazardous waste treatment facilities and certain other permitted facilities should those facilities cease operation, and we are also occasionally required to post surety, bid and performance bonds in connection with certain customer projects. We have obtained all of the required financial assurance for our facilities through a combination of surety bonds and insurance from qualified insurance companies. The financial assurance related to closure and post-closure obligations of our U.S. and Canadian facilities will renew at various dates throughout 2025.</w:t>
      </w:r>
    </w:p>
    <w:p>
      <w:pPr>
        <w:spacing w:after="0" w:line="96" w:lineRule="exact"/>
        <w:rPr>
          <w:sz w:val="20"/>
          <w:szCs w:val="20"/>
          <w:color w:val="auto"/>
        </w:rPr>
      </w:pPr>
    </w:p>
    <w:p>
      <w:pPr>
        <w:ind w:right="20" w:firstLine="709"/>
        <w:spacing w:after="0" w:line="405" w:lineRule="auto"/>
        <w:rPr>
          <w:sz w:val="20"/>
          <w:szCs w:val="20"/>
          <w:color w:val="auto"/>
        </w:rPr>
      </w:pPr>
      <w:r>
        <w:rPr>
          <w:rFonts w:ascii="Arial" w:cs="Arial" w:eastAsia="Arial" w:hAnsi="Arial"/>
          <w:sz w:val="16"/>
          <w:szCs w:val="16"/>
          <w:color w:val="auto"/>
        </w:rPr>
        <w:t>Our ability to continue operating our facilities and conducting our operations would be adversely affected if we became unable to obtain sufficient insurance, surety bonds, letters of credit and other forms of financial assurance at reasonable</w:t>
      </w:r>
    </w:p>
    <w:p>
      <w:pPr>
        <w:sectPr>
          <w:pgSz w:w="11880" w:h="15480" w:orient="portrait"/>
          <w:cols w:equalWidth="0" w:num="1">
            <w:col w:w="10080"/>
          </w:cols>
          <w:pgMar w:left="880" w:top="575" w:right="920" w:bottom="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880" w:h="15480" w:orient="portrait"/>
          <w:cols w:equalWidth="0" w:num="1">
            <w:col w:w="10080"/>
          </w:cols>
          <w:pgMar w:left="880" w:top="575" w:right="920" w:bottom="0" w:gutter="0" w:footer="0" w:header="0"/>
          <w:type w:val="continuous"/>
        </w:sectPr>
      </w:pPr>
    </w:p>
    <w:bookmarkStart w:id="30" w:name="page31"/>
    <w:bookmarkEnd w:id="30"/>
    <w:p>
      <w:pPr>
        <w:ind w:right="60"/>
        <w:spacing w:after="0" w:line="281" w:lineRule="auto"/>
        <w:rPr>
          <w:sz w:val="20"/>
          <w:szCs w:val="20"/>
          <w:color w:val="auto"/>
        </w:rPr>
      </w:pPr>
      <w:r>
        <w:rPr>
          <w:rFonts w:ascii="Arial" w:cs="Arial" w:eastAsia="Arial" w:hAnsi="Arial"/>
          <w:sz w:val="19"/>
          <w:szCs w:val="19"/>
          <w:color w:val="auto"/>
        </w:rPr>
        <w:t>cost to meet our regulatory and other business requirements. The availability of insurance, surety bonds, letters of credit and other forms of financial assurance is affected by our insurers’, sureties’ and lenders’ assessment of our risk and by other factors outside of our control such as general conditions in the insurance and credit markets.</w:t>
      </w:r>
    </w:p>
    <w:p>
      <w:pPr>
        <w:spacing w:after="0" w:line="91" w:lineRule="exact"/>
        <w:rPr>
          <w:sz w:val="20"/>
          <w:szCs w:val="20"/>
          <w:color w:val="auto"/>
        </w:rPr>
      </w:pPr>
    </w:p>
    <w:p>
      <w:pPr>
        <w:ind w:right="120" w:firstLine="709"/>
        <w:spacing w:after="0" w:line="411" w:lineRule="auto"/>
        <w:rPr>
          <w:sz w:val="20"/>
          <w:szCs w:val="20"/>
          <w:color w:val="auto"/>
        </w:rPr>
      </w:pPr>
      <w:r>
        <w:rPr>
          <w:rFonts w:ascii="Arial" w:cs="Arial" w:eastAsia="Arial" w:hAnsi="Arial"/>
          <w:sz w:val="16"/>
          <w:szCs w:val="16"/>
          <w:b w:val="1"/>
          <w:bCs w:val="1"/>
          <w:i w:val="1"/>
          <w:iCs w:val="1"/>
          <w:color w:val="auto"/>
        </w:rPr>
        <w:t>Our insurance coverage and self-insurance reserves may be inadequate to cover all significant risk exposures, and increasing costs to maintain adequate coverage may significantly impact our financial condition and results of operations.</w:t>
      </w:r>
    </w:p>
    <w:p>
      <w:pPr>
        <w:spacing w:after="0" w:line="8" w:lineRule="exact"/>
        <w:rPr>
          <w:sz w:val="20"/>
          <w:szCs w:val="20"/>
          <w:color w:val="auto"/>
        </w:rPr>
      </w:pPr>
    </w:p>
    <w:p>
      <w:pPr>
        <w:ind w:right="120" w:firstLine="709"/>
        <w:spacing w:after="0" w:line="254" w:lineRule="auto"/>
        <w:rPr>
          <w:sz w:val="20"/>
          <w:szCs w:val="20"/>
          <w:color w:val="auto"/>
        </w:rPr>
      </w:pPr>
      <w:r>
        <w:rPr>
          <w:rFonts w:ascii="Arial" w:cs="Arial" w:eastAsia="Arial" w:hAnsi="Arial"/>
          <w:sz w:val="20"/>
          <w:szCs w:val="20"/>
          <w:color w:val="auto"/>
        </w:rPr>
        <w:t>We carry a range of insurance policies intended to protect our assets and operations, including general liability insurance, property damage, business interruption and environmental risk insurance. While we endeavor to purchase insurance coverage appropriate to our risk assessment, we are unable to predict with certainty the frequency, nature or magnitude of claims for direct or consequential damages, and as a result our insurance program may not fully cover us for losses we may incur.</w:t>
      </w:r>
    </w:p>
    <w:p>
      <w:pPr>
        <w:spacing w:after="0" w:line="123" w:lineRule="exact"/>
        <w:rPr>
          <w:sz w:val="20"/>
          <w:szCs w:val="20"/>
          <w:color w:val="auto"/>
        </w:rPr>
      </w:pPr>
    </w:p>
    <w:p>
      <w:pPr>
        <w:ind w:right="40" w:firstLine="709"/>
        <w:spacing w:after="0" w:line="280" w:lineRule="auto"/>
        <w:rPr>
          <w:sz w:val="20"/>
          <w:szCs w:val="20"/>
          <w:color w:val="auto"/>
        </w:rPr>
      </w:pPr>
      <w:r>
        <w:rPr>
          <w:rFonts w:ascii="Arial" w:cs="Arial" w:eastAsia="Arial" w:hAnsi="Arial"/>
          <w:sz w:val="18"/>
          <w:szCs w:val="18"/>
          <w:color w:val="auto"/>
        </w:rPr>
        <w:t>As a result of a number of catastrophic weather and other events, insurance companies have incurred substantial losses and in many cases they have substantially reduced the nature and amount of insurance coverage available to the market, have broadened exclusions and/or have substantially increased the cost of such coverage. If this trend continues, we may not be able to maintain insurance of the types and coverage we desire at reasonable rates or we may need to take on higher deductibles to obtain such coverage. A partially or completely uninsured claim against us (including liabilities associated with cleanup or remediation at our facilities), if successful and of sufficient magnitude, could have a material adverse effect on our business, financial condition and results of operations. Higher deductibles could result in more volatility in our results of operations as well. Any future difficulty in obtaining insurance could also impair our ability to secure future contracts, which may be conditioned upon the availability of adequate insurance coverage. In addition, claims associated with risks for which we are to some extent self-insured (property, workers’ compensation, employee medical, comprehensive general liability and vehicle liability) may exceed our recorded reserves, which could negatively impact future earnings.</w:t>
      </w:r>
    </w:p>
    <w:p>
      <w:pPr>
        <w:spacing w:after="0" w:line="94"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Tax interpretations and changes in tax regulations and legislation could adversely affect our results of operations.</w:t>
      </w:r>
    </w:p>
    <w:p>
      <w:pPr>
        <w:spacing w:after="0" w:line="218" w:lineRule="exact"/>
        <w:rPr>
          <w:sz w:val="20"/>
          <w:szCs w:val="20"/>
          <w:color w:val="auto"/>
        </w:rPr>
      </w:pPr>
    </w:p>
    <w:p>
      <w:pPr>
        <w:ind w:right="40" w:firstLine="709"/>
        <w:spacing w:after="0" w:line="266" w:lineRule="auto"/>
        <w:rPr>
          <w:sz w:val="20"/>
          <w:szCs w:val="20"/>
          <w:color w:val="auto"/>
        </w:rPr>
      </w:pPr>
      <w:r>
        <w:rPr>
          <w:rFonts w:ascii="Arial" w:cs="Arial" w:eastAsia="Arial" w:hAnsi="Arial"/>
          <w:sz w:val="19"/>
          <w:szCs w:val="19"/>
          <w:color w:val="auto"/>
        </w:rPr>
        <w:t>We are subject to various taxes in the United States, Canada, India, Mexico, Puerto Rico and certain state and local jurisdictions. Tax interpretations, regulations and legislation, including cross-border tariffs, in the various jurisdictions in which we operate are subject to change and uncertainty and may impact our results of operations and cash flows. Our interpretation of tax rules and regulations, including those relating to foreign jurisdictions, requires judgment that may be challenged by taxation authorities upon audit. 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Fluctuations in foreign currency exchange could affect our financial results.</w:t>
      </w:r>
    </w:p>
    <w:p>
      <w:pPr>
        <w:spacing w:after="0" w:line="172" w:lineRule="exact"/>
        <w:rPr>
          <w:sz w:val="20"/>
          <w:szCs w:val="20"/>
          <w:color w:val="auto"/>
        </w:rPr>
      </w:pPr>
    </w:p>
    <w:p>
      <w:pPr>
        <w:ind w:firstLine="709"/>
        <w:spacing w:after="0" w:line="251" w:lineRule="auto"/>
        <w:rPr>
          <w:sz w:val="20"/>
          <w:szCs w:val="20"/>
          <w:color w:val="auto"/>
        </w:rPr>
      </w:pPr>
      <w:r>
        <w:rPr>
          <w:rFonts w:ascii="Arial" w:cs="Arial" w:eastAsia="Arial" w:hAnsi="Arial"/>
          <w:sz w:val="20"/>
          <w:szCs w:val="20"/>
          <w:color w:val="auto"/>
        </w:rPr>
        <w:t>We earn revenues, pay expenses, own assets and incur liabilities in countries using currencies other than the U.S. Dollar. In particular, we recorded approximately 9.1% of our fiscal 2024 revenues in Canada and employ over 7% of our full time active employees at our Global Capabilities Center in India. Because our consolidated financial statements are presented in U.S. Dollars, we must translate revenues, expenses and income, as well as assets and liabilities, into U.S. Dollars at exchange rates in effect during or at the end of each reporting period. Therefore, increases or decreases in the value of the U.S. Dollar against other currencies in countries where we operate affect our results of operations and the value of balance sheet items denominated in foreign currencies.</w:t>
      </w:r>
    </w:p>
    <w:p>
      <w:pPr>
        <w:spacing w:after="0" w:line="121" w:lineRule="exact"/>
        <w:rPr>
          <w:sz w:val="20"/>
          <w:szCs w:val="20"/>
          <w:color w:val="auto"/>
        </w:rPr>
      </w:pPr>
    </w:p>
    <w:p>
      <w:pPr>
        <w:ind w:right="100" w:firstLine="709"/>
        <w:spacing w:after="0" w:line="411" w:lineRule="auto"/>
        <w:rPr>
          <w:sz w:val="20"/>
          <w:szCs w:val="20"/>
          <w:color w:val="auto"/>
        </w:rPr>
      </w:pPr>
      <w:r>
        <w:rPr>
          <w:rFonts w:ascii="Arial" w:cs="Arial" w:eastAsia="Arial" w:hAnsi="Arial"/>
          <w:sz w:val="16"/>
          <w:szCs w:val="16"/>
          <w:b w:val="1"/>
          <w:bCs w:val="1"/>
          <w:i w:val="1"/>
          <w:iCs w:val="1"/>
          <w:color w:val="auto"/>
        </w:rPr>
        <w:t>Certain adverse conditions have required, and future conditions might require, us to make substantial write-downs in our assets, which have adversely affected or would adversely affect our balance sheet and results of operations.</w:t>
      </w:r>
    </w:p>
    <w:p>
      <w:pPr>
        <w:spacing w:after="0" w:line="8" w:lineRule="exact"/>
        <w:rPr>
          <w:sz w:val="20"/>
          <w:szCs w:val="20"/>
          <w:color w:val="auto"/>
        </w:rPr>
      </w:pPr>
    </w:p>
    <w:p>
      <w:pPr>
        <w:ind w:right="140" w:firstLine="709"/>
        <w:spacing w:after="0" w:line="281" w:lineRule="auto"/>
        <w:rPr>
          <w:sz w:val="20"/>
          <w:szCs w:val="20"/>
          <w:color w:val="auto"/>
        </w:rPr>
      </w:pPr>
      <w:r>
        <w:rPr>
          <w:rFonts w:ascii="Arial" w:cs="Arial" w:eastAsia="Arial" w:hAnsi="Arial"/>
          <w:sz w:val="18"/>
          <w:szCs w:val="18"/>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on December 31, or when events or changes in the business environment indicate that the carrying value of a reporting unit or indefinite lived intangible may exceed its fair value. The goodwill and indefinite-lived intangible asset impairment analysis is based on estimates of fair value based on cash flow projections that may differ from actual results. During each of 2024, 2023 and 2022, we determined that no asset write-downs were required. However, if conditions in any of the businesses in which we operate were to deteriorate, we could determine that certain of our assets are impaired and we would then be required to write-off all or a portion of the value of such assets. Any significant write-offs would adversely affect our balance sheet and results of operations.</w:t>
      </w:r>
    </w:p>
    <w:p>
      <w:pPr>
        <w:sectPr>
          <w:pgSz w:w="11880" w:h="15480" w:orient="portrait"/>
          <w:cols w:equalWidth="0" w:num="1">
            <w:col w:w="10100"/>
          </w:cols>
          <w:pgMar w:left="880" w:top="5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880" w:h="15480" w:orient="portrait"/>
          <w:cols w:equalWidth="0" w:num="1">
            <w:col w:w="10100"/>
          </w:cols>
          <w:pgMar w:left="880" w:top="575" w:right="900" w:bottom="0"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b w:val="1"/>
          <w:bCs w:val="1"/>
          <w:u w:val="single" w:color="auto"/>
          <w:color w:val="auto"/>
        </w:rPr>
        <w:t>DEBT AND FINANCING RELATED RISKS</w:t>
      </w:r>
    </w:p>
    <w:p>
      <w:pPr>
        <w:spacing w:after="0" w:line="163" w:lineRule="exact"/>
        <w:rPr>
          <w:sz w:val="20"/>
          <w:szCs w:val="20"/>
          <w:color w:val="auto"/>
        </w:rPr>
      </w:pPr>
    </w:p>
    <w:p>
      <w:pPr>
        <w:ind w:right="440" w:firstLine="709"/>
        <w:spacing w:after="0" w:line="281" w:lineRule="auto"/>
        <w:rPr>
          <w:sz w:val="20"/>
          <w:szCs w:val="20"/>
          <w:color w:val="auto"/>
        </w:rPr>
      </w:pPr>
      <w:r>
        <w:rPr>
          <w:rFonts w:ascii="Arial" w:cs="Arial" w:eastAsia="Arial" w:hAnsi="Arial"/>
          <w:sz w:val="20"/>
          <w:szCs w:val="20"/>
          <w:b w:val="1"/>
          <w:bCs w:val="1"/>
          <w:i w:val="1"/>
          <w:iCs w:val="1"/>
          <w:color w:val="auto"/>
        </w:rPr>
        <w:t>Our levels of outstanding debt and letters of credit could adversely affect our financial condition and ability to fulfill our obligations.</w:t>
      </w:r>
    </w:p>
    <w:p>
      <w:pPr>
        <w:spacing w:after="0" w:line="100" w:lineRule="exact"/>
        <w:rPr>
          <w:sz w:val="20"/>
          <w:szCs w:val="20"/>
          <w:color w:val="auto"/>
        </w:rPr>
      </w:pPr>
    </w:p>
    <w:p>
      <w:pPr>
        <w:jc w:val="both"/>
        <w:ind w:right="260" w:firstLine="709"/>
        <w:spacing w:after="0" w:line="261" w:lineRule="auto"/>
        <w:rPr>
          <w:sz w:val="20"/>
          <w:szCs w:val="20"/>
          <w:color w:val="auto"/>
        </w:rPr>
      </w:pPr>
      <w:r>
        <w:rPr>
          <w:rFonts w:ascii="Arial" w:cs="Arial" w:eastAsia="Arial" w:hAnsi="Arial"/>
          <w:sz w:val="20"/>
          <w:szCs w:val="20"/>
          <w:color w:val="auto"/>
        </w:rPr>
        <w:t>As of December 31, 2024, our long-term debt consisted of $1,345.0 million of unsecured senior notes and $1,464.9 million of secured senior term loans, with letters of credit of $130.0 million drawn against our revolving credit facility. Our levels of outstanding debt and letters of credit may:</w:t>
      </w:r>
    </w:p>
    <w:p>
      <w:pPr>
        <w:spacing w:after="0" w:line="116" w:lineRule="exact"/>
        <w:rPr>
          <w:sz w:val="20"/>
          <w:szCs w:val="20"/>
          <w:color w:val="auto"/>
        </w:rPr>
      </w:pPr>
    </w:p>
    <w:p>
      <w:pPr>
        <w:ind w:left="1080" w:right="120" w:hanging="364"/>
        <w:spacing w:after="0" w:line="260" w:lineRule="auto"/>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adversely impact our ability to obtain additional financing in the future for working capital, capital expenditures, acquisitions or other general corporate purposes or to repurchase our unsecured senior notes from holders upon any change of control;</w:t>
      </w:r>
    </w:p>
    <w:p>
      <w:pPr>
        <w:spacing w:after="0" w:line="1" w:lineRule="exact"/>
        <w:rPr>
          <w:rFonts w:ascii="Arial" w:cs="Arial" w:eastAsia="Arial" w:hAnsi="Arial"/>
          <w:sz w:val="20"/>
          <w:szCs w:val="20"/>
          <w:color w:val="auto"/>
        </w:rPr>
      </w:pPr>
    </w:p>
    <w:p>
      <w:pPr>
        <w:jc w:val="both"/>
        <w:ind w:left="1080" w:right="340" w:hanging="364"/>
        <w:spacing w:after="0" w:line="260" w:lineRule="auto"/>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require us to dedicate a substantial portion of our cash flow to payment of interest on our debt and fees on our letters of credit, which reduces the availability of our cash flow to fund working capital, capital expenditures, acquisitions and other general corporate purposes;</w:t>
      </w:r>
    </w:p>
    <w:p>
      <w:pPr>
        <w:spacing w:after="0" w:line="1" w:lineRule="exact"/>
        <w:rPr>
          <w:rFonts w:ascii="Arial" w:cs="Arial" w:eastAsia="Arial" w:hAnsi="Arial"/>
          <w:sz w:val="20"/>
          <w:szCs w:val="20"/>
          <w:color w:val="auto"/>
        </w:rPr>
      </w:pPr>
    </w:p>
    <w:p>
      <w:pPr>
        <w:ind w:left="1080" w:right="200" w:hanging="364"/>
        <w:spacing w:after="0" w:line="260" w:lineRule="auto"/>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subject us to variable interest rate risk on $864.9 million of our $1,464.9 million secured senior term loans for which the variable rate had not been fixed via an interest rate swap as of December 31, 2024 and borrowings (if any) under our revolving credit facility;</w:t>
      </w:r>
    </w:p>
    <w:p>
      <w:pPr>
        <w:spacing w:after="0" w:line="1" w:lineRule="exact"/>
        <w:rPr>
          <w:rFonts w:ascii="Arial" w:cs="Arial" w:eastAsia="Arial" w:hAnsi="Arial"/>
          <w:sz w:val="20"/>
          <w:szCs w:val="20"/>
          <w:color w:val="auto"/>
        </w:rPr>
      </w:pPr>
    </w:p>
    <w:p>
      <w:pPr>
        <w:ind w:left="1080" w:right="240" w:hanging="364"/>
        <w:spacing w:after="0" w:line="267" w:lineRule="auto"/>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increase the possibility of an event of default under the financial and operating covenants contained in our debt instruments; and</w:t>
      </w:r>
    </w:p>
    <w:p>
      <w:pPr>
        <w:ind w:left="1080" w:right="300" w:hanging="364"/>
        <w:spacing w:after="0" w:line="261" w:lineRule="auto"/>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limit our ability to adjust to rapidly changing market conditions, reduce our ability to withstand competitive pressures and make us more vulnerable to a downturn in general economic conditions of our business than our competitors with less debt.</w:t>
      </w:r>
    </w:p>
    <w:p>
      <w:pPr>
        <w:spacing w:after="0" w:line="116" w:lineRule="exact"/>
        <w:rPr>
          <w:sz w:val="20"/>
          <w:szCs w:val="20"/>
          <w:color w:val="auto"/>
        </w:rPr>
      </w:pPr>
    </w:p>
    <w:p>
      <w:pPr>
        <w:ind w:right="140" w:firstLine="709"/>
        <w:spacing w:after="0" w:line="327" w:lineRule="auto"/>
        <w:rPr>
          <w:sz w:val="20"/>
          <w:szCs w:val="20"/>
          <w:color w:val="auto"/>
        </w:rPr>
      </w:pPr>
      <w:r>
        <w:rPr>
          <w:rFonts w:ascii="Arial" w:cs="Arial" w:eastAsia="Arial" w:hAnsi="Arial"/>
          <w:sz w:val="16"/>
          <w:szCs w:val="16"/>
          <w:color w:val="auto"/>
        </w:rPr>
        <w:t>Our ability to make scheduled payments of principal or interest with respect to our debt, including our outstanding unsecured senior notes, our secured senior term loans, any revolving loans and our finance leases, and to pay fee obligations with respect to our letters of credit, will depend on our ability to generate cash and our future financial results. If we were unable to generate sufficient cash flow from operations in the future to service our debt and letter of credit fee obligations, we might be required to refinance all or a portion of our existing debt and letter of credit facilities or to obtain new or additional such facilities. However, we might not be able to obtain any such new or additional facilities on favorable terms or at all.</w:t>
      </w:r>
    </w:p>
    <w:p>
      <w:pPr>
        <w:spacing w:after="0" w:line="64" w:lineRule="exact"/>
        <w:rPr>
          <w:sz w:val="20"/>
          <w:szCs w:val="20"/>
          <w:color w:val="auto"/>
        </w:rPr>
      </w:pPr>
    </w:p>
    <w:p>
      <w:pPr>
        <w:ind w:right="200" w:firstLine="709"/>
        <w:spacing w:after="0" w:line="281" w:lineRule="auto"/>
        <w:rPr>
          <w:sz w:val="20"/>
          <w:szCs w:val="20"/>
          <w:color w:val="auto"/>
        </w:rPr>
      </w:pPr>
      <w:r>
        <w:rPr>
          <w:rFonts w:ascii="Arial" w:cs="Arial" w:eastAsia="Arial" w:hAnsi="Arial"/>
          <w:sz w:val="20"/>
          <w:szCs w:val="20"/>
          <w:b w:val="1"/>
          <w:bCs w:val="1"/>
          <w:i w:val="1"/>
          <w:iCs w:val="1"/>
          <w:color w:val="auto"/>
        </w:rPr>
        <w:t>The covenants in our debt agreements may restrict our ability to operate our business and might lead to a default under our debt agreements.</w:t>
      </w:r>
    </w:p>
    <w:p>
      <w:pPr>
        <w:spacing w:after="0" w:line="100" w:lineRule="exact"/>
        <w:rPr>
          <w:sz w:val="20"/>
          <w:szCs w:val="20"/>
          <w:color w:val="auto"/>
        </w:rPr>
      </w:pPr>
    </w:p>
    <w:p>
      <w:pPr>
        <w:ind w:right="420" w:firstLine="709"/>
        <w:spacing w:after="0" w:line="303" w:lineRule="auto"/>
        <w:rPr>
          <w:sz w:val="20"/>
          <w:szCs w:val="20"/>
          <w:color w:val="auto"/>
        </w:rPr>
      </w:pPr>
      <w:r>
        <w:rPr>
          <w:rFonts w:ascii="Arial" w:cs="Arial" w:eastAsia="Arial" w:hAnsi="Arial"/>
          <w:sz w:val="19"/>
          <w:szCs w:val="19"/>
          <w:color w:val="auto"/>
        </w:rPr>
        <w:t>Our revolving credit agreement and the indenture and loan agreement governing our other outstanding debt limit, among other things, the extent to which the Company or our restricted subsidiaries can:</w:t>
      </w:r>
    </w:p>
    <w:p>
      <w:pPr>
        <w:spacing w:after="0" w:line="79" w:lineRule="exact"/>
        <w:rPr>
          <w:sz w:val="20"/>
          <w:szCs w:val="20"/>
          <w:color w:val="auto"/>
        </w:rPr>
      </w:pPr>
    </w:p>
    <w:p>
      <w:pPr>
        <w:ind w:left="1080" w:right="20" w:hanging="364"/>
        <w:spacing w:after="0" w:line="267" w:lineRule="auto"/>
        <w:tabs>
          <w:tab w:leader="none" w:pos="10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incur or guarantee additional indebtedness (including, for this purpose, reimbursement obligations under letters of credit) or issue preferred stock;</w:t>
      </w:r>
    </w:p>
    <w:p>
      <w:pPr>
        <w:ind w:left="1080" w:hanging="364"/>
        <w:spacing w:after="0"/>
        <w:tabs>
          <w:tab w:leader="none" w:pos="10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pay dividends or make other distributions to our stockholders;</w:t>
      </w:r>
    </w:p>
    <w:p>
      <w:pPr>
        <w:spacing w:after="0" w:line="45" w:lineRule="exact"/>
        <w:rPr>
          <w:rFonts w:ascii="Arial" w:cs="Arial" w:eastAsia="Arial" w:hAnsi="Arial"/>
          <w:sz w:val="20"/>
          <w:szCs w:val="20"/>
          <w:color w:val="auto"/>
        </w:rPr>
      </w:pPr>
    </w:p>
    <w:p>
      <w:pPr>
        <w:ind w:left="1080" w:hanging="364"/>
        <w:spacing w:after="0"/>
        <w:tabs>
          <w:tab w:leader="none" w:pos="10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purchase or redeem capital stock or subordinated indebtedness;</w:t>
      </w:r>
    </w:p>
    <w:p>
      <w:pPr>
        <w:spacing w:after="0" w:line="45" w:lineRule="exact"/>
        <w:rPr>
          <w:rFonts w:ascii="Arial" w:cs="Arial" w:eastAsia="Arial" w:hAnsi="Arial"/>
          <w:sz w:val="20"/>
          <w:szCs w:val="20"/>
          <w:color w:val="auto"/>
        </w:rPr>
      </w:pPr>
    </w:p>
    <w:p>
      <w:pPr>
        <w:ind w:left="1080" w:hanging="364"/>
        <w:spacing w:after="0"/>
        <w:tabs>
          <w:tab w:leader="none" w:pos="10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make investments;</w:t>
      </w:r>
    </w:p>
    <w:p>
      <w:pPr>
        <w:spacing w:after="0" w:line="45" w:lineRule="exact"/>
        <w:rPr>
          <w:rFonts w:ascii="Arial" w:cs="Arial" w:eastAsia="Arial" w:hAnsi="Arial"/>
          <w:sz w:val="20"/>
          <w:szCs w:val="20"/>
          <w:color w:val="auto"/>
        </w:rPr>
      </w:pPr>
    </w:p>
    <w:p>
      <w:pPr>
        <w:ind w:left="1080" w:hanging="364"/>
        <w:spacing w:after="0"/>
        <w:tabs>
          <w:tab w:leader="none" w:pos="10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create liens;</w:t>
      </w:r>
    </w:p>
    <w:p>
      <w:pPr>
        <w:spacing w:after="0" w:line="45" w:lineRule="exact"/>
        <w:rPr>
          <w:rFonts w:ascii="Arial" w:cs="Arial" w:eastAsia="Arial" w:hAnsi="Arial"/>
          <w:sz w:val="20"/>
          <w:szCs w:val="20"/>
          <w:color w:val="auto"/>
        </w:rPr>
      </w:pPr>
    </w:p>
    <w:p>
      <w:pPr>
        <w:ind w:left="1080" w:hanging="364"/>
        <w:spacing w:after="0"/>
        <w:tabs>
          <w:tab w:leader="none" w:pos="10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incur restrictions on the ability of our restricted subsidiaries to pay dividends or make other payments to us;</w:t>
      </w:r>
    </w:p>
    <w:p>
      <w:pPr>
        <w:spacing w:after="0" w:line="57" w:lineRule="exact"/>
        <w:rPr>
          <w:rFonts w:ascii="Arial" w:cs="Arial" w:eastAsia="Arial" w:hAnsi="Arial"/>
          <w:sz w:val="19"/>
          <w:szCs w:val="19"/>
          <w:color w:val="auto"/>
        </w:rPr>
      </w:pPr>
    </w:p>
    <w:p>
      <w:pPr>
        <w:ind w:left="1080" w:hanging="364"/>
        <w:spacing w:after="0"/>
        <w:tabs>
          <w:tab w:leader="none" w:pos="10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sell assets, including capital stock of our subsidiaries;</w:t>
      </w:r>
    </w:p>
    <w:p>
      <w:pPr>
        <w:spacing w:after="0" w:line="45" w:lineRule="exact"/>
        <w:rPr>
          <w:rFonts w:ascii="Arial" w:cs="Arial" w:eastAsia="Arial" w:hAnsi="Arial"/>
          <w:sz w:val="20"/>
          <w:szCs w:val="20"/>
          <w:color w:val="auto"/>
        </w:rPr>
      </w:pPr>
    </w:p>
    <w:p>
      <w:pPr>
        <w:ind w:left="1080" w:hanging="364"/>
        <w:spacing w:after="0"/>
        <w:tabs>
          <w:tab w:leader="none" w:pos="10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consolidate or merge with or into other companies or transfer all or substantially all of our assets; and</w:t>
      </w:r>
    </w:p>
    <w:p>
      <w:pPr>
        <w:spacing w:after="0" w:line="45" w:lineRule="exact"/>
        <w:rPr>
          <w:rFonts w:ascii="Arial" w:cs="Arial" w:eastAsia="Arial" w:hAnsi="Arial"/>
          <w:sz w:val="20"/>
          <w:szCs w:val="20"/>
          <w:color w:val="auto"/>
        </w:rPr>
      </w:pPr>
    </w:p>
    <w:p>
      <w:pPr>
        <w:ind w:left="1080" w:hanging="364"/>
        <w:spacing w:after="0"/>
        <w:tabs>
          <w:tab w:leader="none" w:pos="10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engage in transactions with affiliates.</w:t>
      </w:r>
    </w:p>
    <w:p>
      <w:pPr>
        <w:spacing w:after="0" w:line="164" w:lineRule="exact"/>
        <w:rPr>
          <w:sz w:val="20"/>
          <w:szCs w:val="20"/>
          <w:color w:val="auto"/>
        </w:rPr>
      </w:pPr>
    </w:p>
    <w:p>
      <w:pPr>
        <w:ind w:firstLine="709"/>
        <w:spacing w:after="0" w:line="265" w:lineRule="auto"/>
        <w:rPr>
          <w:sz w:val="20"/>
          <w:szCs w:val="20"/>
          <w:color w:val="auto"/>
        </w:rPr>
      </w:pPr>
      <w:r>
        <w:rPr>
          <w:rFonts w:ascii="Arial" w:cs="Arial" w:eastAsia="Arial" w:hAnsi="Arial"/>
          <w:sz w:val="19"/>
          <w:szCs w:val="19"/>
          <w:color w:val="auto"/>
        </w:rPr>
        <w:t>As a result of these covenants, we may not be able to respond to changes in business and economic conditions and to obtain additional financing, if needed, and we may be prevented from engaging in transactions that might otherwise be beneficial to us. Our revolving credit facility requires, and our future credit facilities may require, us to maintain under certain circumstances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outstanding or future debt. Upon the occurrence of an event of default, the lenders could elect to declare all amounts outstanding under such debts, including accrued interest or other obligations, to be immediately due and payable. If amounts outstanding under such debts were accelerated, our assets might not be sufficient to repay in full those debts.</w:t>
      </w:r>
    </w:p>
    <w:p>
      <w:pPr>
        <w:spacing w:after="0" w:line="114" w:lineRule="exact"/>
        <w:rPr>
          <w:sz w:val="20"/>
          <w:szCs w:val="20"/>
          <w:color w:val="auto"/>
        </w:rPr>
      </w:pPr>
    </w:p>
    <w:p>
      <w:pPr>
        <w:ind w:right="100" w:firstLine="709"/>
        <w:spacing w:after="0" w:line="405" w:lineRule="auto"/>
        <w:rPr>
          <w:sz w:val="20"/>
          <w:szCs w:val="20"/>
          <w:color w:val="auto"/>
        </w:rPr>
      </w:pPr>
      <w:r>
        <w:rPr>
          <w:rFonts w:ascii="Arial" w:cs="Arial" w:eastAsia="Arial" w:hAnsi="Arial"/>
          <w:sz w:val="16"/>
          <w:szCs w:val="16"/>
          <w:color w:val="auto"/>
        </w:rPr>
        <w:t>Our revolving credit agreement and the indentures and loan agreement governing our other outstanding debt also contain cross-default and cross-acceleration provisions. Under these provisions, a default or acceleration under one instrument</w:t>
      </w:r>
    </w:p>
    <w:p>
      <w:pPr>
        <w:sectPr>
          <w:pgSz w:w="11880" w:h="15480" w:orient="portrait"/>
          <w:cols w:equalWidth="0" w:num="1">
            <w:col w:w="10060"/>
          </w:cols>
          <w:pgMar w:left="880" w:top="568" w:right="940" w:bottom="0" w:gutter="0" w:footer="0" w:header="0"/>
        </w:sect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880" w:h="15480" w:orient="portrait"/>
          <w:cols w:equalWidth="0" w:num="1">
            <w:col w:w="10060"/>
          </w:cols>
          <w:pgMar w:left="880" w:top="568" w:right="940" w:bottom="0" w:gutter="0" w:footer="0" w:header="0"/>
          <w:type w:val="continuous"/>
        </w:sectPr>
      </w:pPr>
    </w:p>
    <w:bookmarkStart w:id="32" w:name="page33"/>
    <w:bookmarkEnd w:id="32"/>
    <w:p>
      <w:pPr>
        <w:ind w:right="100"/>
        <w:spacing w:after="0" w:line="252" w:lineRule="auto"/>
        <w:rPr>
          <w:sz w:val="20"/>
          <w:szCs w:val="20"/>
          <w:color w:val="auto"/>
        </w:rPr>
      </w:pPr>
      <w:r>
        <w:rPr>
          <w:rFonts w:ascii="Arial" w:cs="Arial" w:eastAsia="Arial" w:hAnsi="Arial"/>
          <w:sz w:val="20"/>
          <w:szCs w:val="20"/>
          <w:color w:val="auto"/>
        </w:rPr>
        <w:t>governing our debt may constitute a default under our other debt instruments that contain cross-default and cross-acceleration provisions, which could result in the related debt and the debt under such other instruments becoming immediately due and payable. In such event, we would need to raise funds from alternative sources, which funds might not be available to us on favorable terms, on a timely basis or at all. Alternatively, such a default could require us to sell assets and otherwise curtail operations to pay our creditors. The proceeds of such a sale of assets or curtailment of operations might not enable us to pay all of our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COMMON STOCK RELATED RISKS</w:t>
      </w:r>
    </w:p>
    <w:p>
      <w:pPr>
        <w:spacing w:after="0" w:line="16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The Massachusetts Business Corporation Act and our By-Laws contain certain anti-takeover provisions.</w:t>
      </w:r>
    </w:p>
    <w:p>
      <w:pPr>
        <w:spacing w:after="0" w:line="195" w:lineRule="exact"/>
        <w:rPr>
          <w:sz w:val="20"/>
          <w:szCs w:val="20"/>
          <w:color w:val="auto"/>
        </w:rPr>
      </w:pPr>
    </w:p>
    <w:p>
      <w:pPr>
        <w:ind w:right="100" w:firstLine="709"/>
        <w:spacing w:after="0" w:line="280" w:lineRule="auto"/>
        <w:rPr>
          <w:sz w:val="20"/>
          <w:szCs w:val="20"/>
          <w:color w:val="auto"/>
        </w:rPr>
      </w:pPr>
      <w:r>
        <w:rPr>
          <w:rFonts w:ascii="Arial" w:cs="Arial" w:eastAsia="Arial" w:hAnsi="Arial"/>
          <w:sz w:val="18"/>
          <w:szCs w:val="18"/>
          <w:color w:val="auto"/>
        </w:rPr>
        <w:t>Sections 8.06 and 7.02 of the Massachusetts Business Corporation Act provide that Massachusetts corporations which are publicly-held must have a staggered Board of Directors and that written demand by holders of at least 40% of the outstanding shares of each relevant voting group of stockholders is required for stockholders to call a special meeting unless such corporations take certain actions to affirmatively “opt-out” of such requirements. In accordance with these provisions, our By-Laws provide for a staggered Board of Directors which consists of three classes of directors of which one class is elected each year for a three-year term, and require that written application by holders of at least 25% (which is less than the 40% which would otherwise be applicable without such a specific provision in our By-Laws) of our outstanding shares of common stock is required for stockholders to call a special meeting. In addition, our By-Laws prohibit the removal by the stockholders of a director except for cause. These provisions could inhibit a takeover of our Company by restricting stockholders’ action to replace the existing directors or approve other actions which a party seeking to acquire us might propose. A takeover transaction would frequently afford stockholders an opportunity to sell their shares at a premium over then market prices.</w:t>
      </w:r>
    </w:p>
    <w:p>
      <w:pPr>
        <w:spacing w:after="0" w:line="95"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Not applicable.</w:t>
      </w:r>
    </w:p>
    <w:p>
      <w:pPr>
        <w:spacing w:after="0" w:line="157"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1C.</w:t>
        <w:tab/>
        <w:t>CYBERSECURITY</w:t>
      </w:r>
    </w:p>
    <w:p>
      <w:pPr>
        <w:spacing w:after="0" w:line="171" w:lineRule="exact"/>
        <w:rPr>
          <w:sz w:val="20"/>
          <w:szCs w:val="20"/>
          <w:color w:val="auto"/>
        </w:rPr>
      </w:pPr>
    </w:p>
    <w:p>
      <w:pPr>
        <w:ind w:firstLine="709"/>
        <w:spacing w:after="0" w:line="303" w:lineRule="auto"/>
        <w:rPr>
          <w:sz w:val="20"/>
          <w:szCs w:val="20"/>
          <w:color w:val="auto"/>
        </w:rPr>
      </w:pPr>
      <w:r>
        <w:rPr>
          <w:rFonts w:ascii="Arial" w:cs="Arial" w:eastAsia="Arial" w:hAnsi="Arial"/>
          <w:sz w:val="18"/>
          <w:szCs w:val="18"/>
          <w:color w:val="auto"/>
        </w:rPr>
        <w:t>Clean Harbors recognizes the critical importance of developing, implementing and maintaining cybersecurity measures to safeguard our information technology. The Company has integrated cybersecurity risk management into our overall risk management framework to collectively assess and respond to operational, financial and cybersecurity risks.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of Director Oversight</w:t>
      </w:r>
    </w:p>
    <w:p>
      <w:pPr>
        <w:spacing w:after="0" w:line="167" w:lineRule="exact"/>
        <w:rPr>
          <w:sz w:val="20"/>
          <w:szCs w:val="20"/>
          <w:color w:val="auto"/>
        </w:rPr>
      </w:pPr>
    </w:p>
    <w:p>
      <w:pPr>
        <w:ind w:right="20" w:firstLine="709"/>
        <w:spacing w:after="0" w:line="274" w:lineRule="auto"/>
        <w:rPr>
          <w:sz w:val="20"/>
          <w:szCs w:val="20"/>
          <w:color w:val="auto"/>
        </w:rPr>
      </w:pPr>
      <w:r>
        <w:rPr>
          <w:rFonts w:ascii="Arial" w:cs="Arial" w:eastAsia="Arial" w:hAnsi="Arial"/>
          <w:sz w:val="19"/>
          <w:szCs w:val="19"/>
          <w:color w:val="auto"/>
        </w:rPr>
        <w:t>The Board of Directors is acutely aware of the critical nature of managing risks associated with cybersecurity threats. The Board, led by the Executive Chairman Alan McKim, who is also the Chief Technology Officer of the Company, has primary oversight responsibilities for cybersecurity risks and therefore has established oversight mechanisms to ensure effective governance in managing risks associated with cybersecurity threats.</w:t>
      </w:r>
    </w:p>
    <w:p>
      <w:pPr>
        <w:spacing w:after="0" w:line="105" w:lineRule="exact"/>
        <w:rPr>
          <w:sz w:val="20"/>
          <w:szCs w:val="20"/>
          <w:color w:val="auto"/>
        </w:rPr>
      </w:pPr>
    </w:p>
    <w:p>
      <w:pPr>
        <w:ind w:right="460" w:firstLine="709"/>
        <w:spacing w:after="0" w:line="293" w:lineRule="auto"/>
        <w:rPr>
          <w:sz w:val="20"/>
          <w:szCs w:val="20"/>
          <w:color w:val="auto"/>
        </w:rPr>
      </w:pPr>
      <w:r>
        <w:rPr>
          <w:rFonts w:ascii="Arial" w:cs="Arial" w:eastAsia="Arial" w:hAnsi="Arial"/>
          <w:sz w:val="18"/>
          <w:szCs w:val="18"/>
          <w:color w:val="auto"/>
        </w:rPr>
        <w:t>We have a special subcommittee of the Board of Directors with the goal of reviewing the Company’s overall cybersecurity risk and response landscape. The special Cybersecurity subcommittee is comprised of board members with diverse expertise including risk management, technology and finance, with two members holding Cybersecurity Oversight Certificates issued by the National Association of Corporate Directors and Carnegie Mellon University.</w:t>
      </w:r>
    </w:p>
    <w:p>
      <w:pPr>
        <w:spacing w:after="0" w:line="92" w:lineRule="exact"/>
        <w:rPr>
          <w:sz w:val="20"/>
          <w:szCs w:val="20"/>
          <w:color w:val="auto"/>
        </w:rPr>
      </w:pPr>
    </w:p>
    <w:p>
      <w:pPr>
        <w:ind w:right="80" w:firstLine="709"/>
        <w:spacing w:after="0" w:line="251" w:lineRule="auto"/>
        <w:rPr>
          <w:sz w:val="20"/>
          <w:szCs w:val="20"/>
          <w:color w:val="auto"/>
        </w:rPr>
      </w:pPr>
      <w:r>
        <w:rPr>
          <w:rFonts w:ascii="Arial" w:cs="Arial" w:eastAsia="Arial" w:hAnsi="Arial"/>
          <w:sz w:val="20"/>
          <w:szCs w:val="20"/>
          <w:color w:val="auto"/>
        </w:rPr>
        <w:t>The Chief Information Security Officer (“CISO”) and Chief Information Officer (“CIO”) provide comprehensive briefings throughout the year to the Cybersecurity subcommittee, which meets quarterly. The chair of the Cybersecurity subcommittee provides updates on the subcommittee’s activities to the Board of Directors and, from time to time as warranted, the CISO and CIO will present to the full Board of Directors as well. The briefings include the current landscape of cybersecurity risks and emerging threats, relevant Company infrastructure and tools employed to address these risk and threats, status of ongoing initiatives, incident reports and learnings and compliance with regulatory requirements and industry standards.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Oversight and Responsibilities</w:t>
      </w:r>
    </w:p>
    <w:p>
      <w:pPr>
        <w:spacing w:after="0" w:line="167" w:lineRule="exact"/>
        <w:rPr>
          <w:sz w:val="20"/>
          <w:szCs w:val="20"/>
          <w:color w:val="auto"/>
        </w:rPr>
      </w:pPr>
    </w:p>
    <w:p>
      <w:pPr>
        <w:ind w:right="300" w:firstLine="709"/>
        <w:spacing w:after="0" w:line="256" w:lineRule="auto"/>
        <w:rPr>
          <w:sz w:val="20"/>
          <w:szCs w:val="20"/>
          <w:color w:val="auto"/>
        </w:rPr>
      </w:pPr>
      <w:r>
        <w:rPr>
          <w:rFonts w:ascii="Arial" w:cs="Arial" w:eastAsia="Arial" w:hAnsi="Arial"/>
          <w:sz w:val="20"/>
          <w:szCs w:val="20"/>
          <w:color w:val="auto"/>
        </w:rPr>
        <w:t>Reporting to the CIO, the CISO manages Cybersecurity at Clean Harbors and is a Certified Informational Systems Security Professional. The CISO leads the Clean Harbors’ cybersecurity response program based on the National Institute of Standards and Technology (“NIST”) Cybersecurity Framework providing a collaborative, balanced risk based approach to securing and defending the Company.</w:t>
      </w:r>
    </w:p>
    <w:p>
      <w:pPr>
        <w:spacing w:after="0" w:line="122" w:lineRule="exact"/>
        <w:rPr>
          <w:sz w:val="20"/>
          <w:szCs w:val="20"/>
          <w:color w:val="auto"/>
        </w:rPr>
      </w:pPr>
    </w:p>
    <w:p>
      <w:pPr>
        <w:ind w:right="720" w:firstLine="709"/>
        <w:spacing w:after="0" w:line="405" w:lineRule="auto"/>
        <w:rPr>
          <w:sz w:val="20"/>
          <w:szCs w:val="20"/>
          <w:color w:val="auto"/>
        </w:rPr>
      </w:pPr>
      <w:r>
        <w:rPr>
          <w:rFonts w:ascii="Arial" w:cs="Arial" w:eastAsia="Arial" w:hAnsi="Arial"/>
          <w:sz w:val="16"/>
          <w:szCs w:val="16"/>
          <w:color w:val="auto"/>
        </w:rPr>
        <w:t>The CISO leverages open source and private threat intelligence sources to remain current about the latest developments in cybersecurity, including potential threats and risk management techniques. The CISO implements and</w:t>
      </w:r>
    </w:p>
    <w:p>
      <w:pPr>
        <w:sectPr>
          <w:pgSz w:w="11880" w:h="15480" w:orient="portrait"/>
          <w:cols w:equalWidth="0" w:num="1">
            <w:col w:w="10120"/>
          </w:cols>
          <w:pgMar w:left="880" w:top="57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880" w:h="15480" w:orient="portrait"/>
          <w:cols w:equalWidth="0" w:num="1">
            <w:col w:w="10120"/>
          </w:cols>
          <w:pgMar w:left="880" w:top="575" w:right="880" w:bottom="0" w:gutter="0" w:footer="0" w:header="0"/>
          <w:type w:val="continuous"/>
        </w:sectPr>
      </w:pPr>
    </w:p>
    <w:bookmarkStart w:id="33" w:name="page34"/>
    <w:bookmarkEnd w:id="33"/>
    <w:p>
      <w:pPr>
        <w:ind w:right="440"/>
        <w:spacing w:after="0" w:line="405" w:lineRule="auto"/>
        <w:rPr>
          <w:sz w:val="20"/>
          <w:szCs w:val="20"/>
          <w:color w:val="auto"/>
        </w:rPr>
      </w:pPr>
      <w:r>
        <w:rPr>
          <w:rFonts w:ascii="Arial" w:cs="Arial" w:eastAsia="Arial" w:hAnsi="Arial"/>
          <w:sz w:val="16"/>
          <w:szCs w:val="16"/>
          <w:color w:val="auto"/>
        </w:rPr>
        <w:t>oversees processes and technologies for regular monitoring of our information systems. Third party cybersecurity advisory services are employed to consult on, monitor, respond and/or assess our IT landscape and cybersecurity response.</w:t>
      </w:r>
    </w:p>
    <w:p>
      <w:pPr>
        <w:spacing w:after="0" w:line="9" w:lineRule="exact"/>
        <w:rPr>
          <w:sz w:val="20"/>
          <w:szCs w:val="20"/>
          <w:color w:val="auto"/>
        </w:rPr>
      </w:pPr>
    </w:p>
    <w:p>
      <w:pPr>
        <w:ind w:right="300" w:firstLine="709"/>
        <w:spacing w:after="0" w:line="251" w:lineRule="auto"/>
        <w:rPr>
          <w:sz w:val="20"/>
          <w:szCs w:val="20"/>
          <w:color w:val="auto"/>
        </w:rPr>
      </w:pPr>
      <w:r>
        <w:rPr>
          <w:rFonts w:ascii="Arial" w:cs="Arial" w:eastAsia="Arial" w:hAnsi="Arial"/>
          <w:sz w:val="20"/>
          <w:szCs w:val="20"/>
          <w:color w:val="auto"/>
        </w:rPr>
        <w:t>The CISO is also responsible for the ongoing cybersecurity awareness, training and education of the employees of Clean Harbors and any other parties that may interact with the Company’s information technology systems. Awareness activities include cybersecurity training, simulated exercises, cross functional tabletop exercises and internal communication updates. In the event of a cybersecurity incident, the CISO is equipped with a well-defined incident response plan which has been communicated to the IT and operational organization. This plan includes immediate actions to mitigate the impact, solutions to enable the restoration of business critical technology and long-term strategies for remediation and prevention of future incidents.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from Cybersecurity Threats</w:t>
      </w:r>
    </w:p>
    <w:p>
      <w:pPr>
        <w:spacing w:after="0" w:line="167" w:lineRule="exact"/>
        <w:rPr>
          <w:sz w:val="20"/>
          <w:szCs w:val="20"/>
          <w:color w:val="auto"/>
        </w:rPr>
      </w:pPr>
    </w:p>
    <w:p>
      <w:pPr>
        <w:ind w:right="20" w:firstLine="709"/>
        <w:spacing w:after="0" w:line="261" w:lineRule="auto"/>
        <w:rPr>
          <w:sz w:val="20"/>
          <w:szCs w:val="20"/>
          <w:color w:val="auto"/>
        </w:rPr>
      </w:pPr>
      <w:r>
        <w:rPr>
          <w:rFonts w:ascii="Arial" w:cs="Arial" w:eastAsia="Arial" w:hAnsi="Arial"/>
          <w:sz w:val="20"/>
          <w:szCs w:val="20"/>
          <w:color w:val="auto"/>
        </w:rPr>
        <w:t>The Company has not encountered cybersecurity challenges that have materially impacted our operations or financial results. The Company has included the relevant potential risks from cybersecurity threats as part of the Company’s Risk Factors in Item 1A herein.</w:t>
      </w:r>
    </w:p>
    <w:p>
      <w:pPr>
        <w:spacing w:after="0" w:line="110"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171" w:lineRule="exact"/>
        <w:rPr>
          <w:sz w:val="20"/>
          <w:szCs w:val="20"/>
          <w:color w:val="auto"/>
        </w:rPr>
      </w:pPr>
    </w:p>
    <w:p>
      <w:pPr>
        <w:ind w:right="140" w:firstLine="709"/>
        <w:spacing w:after="0" w:line="274" w:lineRule="auto"/>
        <w:rPr>
          <w:sz w:val="20"/>
          <w:szCs w:val="20"/>
          <w:color w:val="auto"/>
        </w:rPr>
      </w:pPr>
      <w:r>
        <w:rPr>
          <w:rFonts w:ascii="Arial" w:cs="Arial" w:eastAsia="Arial" w:hAnsi="Arial"/>
          <w:sz w:val="19"/>
          <w:szCs w:val="19"/>
          <w:color w:val="auto"/>
        </w:rPr>
        <w:t>Our principal executive offices are in Norwell, Massachusetts. We own our primary executive office building in Massachusetts which occupies 104,000 square feet. We also currently lease 59,300 square feet of additional office space in Norwell, Massachusetts under arrangements which do not expire until 2042. We have regional administrative offices in Texas, Canada and India. Our properties are sufficient and suitable for our current needs.</w:t>
      </w:r>
    </w:p>
    <w:p>
      <w:pPr>
        <w:spacing w:after="0" w:line="105" w:lineRule="exact"/>
        <w:rPr>
          <w:sz w:val="20"/>
          <w:szCs w:val="20"/>
          <w:color w:val="auto"/>
        </w:rPr>
      </w:pPr>
    </w:p>
    <w:p>
      <w:pPr>
        <w:ind w:right="300" w:firstLine="709"/>
        <w:spacing w:after="0" w:line="340" w:lineRule="auto"/>
        <w:rPr>
          <w:sz w:val="20"/>
          <w:szCs w:val="20"/>
          <w:color w:val="auto"/>
        </w:rPr>
      </w:pPr>
      <w:r>
        <w:rPr>
          <w:rFonts w:ascii="Arial" w:cs="Arial" w:eastAsia="Arial" w:hAnsi="Arial"/>
          <w:sz w:val="16"/>
          <w:szCs w:val="16"/>
          <w:color w:val="auto"/>
        </w:rPr>
        <w:t>We have over 870 operating locations housed at approximately 630 properties covering all 50 states, nine Canadian provinces, Puerto Rico and Mexico. These operating locations include service centers, branches, satellite locations, active hazardous waste management properties and oil processing, blending and packaging facilities. Many of our properties offer multiple capabilities. The following sets forth certain information regarding our key properties as of December 31, 2024.</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Service Centers, Branches and Satellite Locations</w:t>
      </w:r>
    </w:p>
    <w:p>
      <w:pPr>
        <w:spacing w:after="0" w:line="172" w:lineRule="exact"/>
        <w:rPr>
          <w:sz w:val="20"/>
          <w:szCs w:val="20"/>
          <w:color w:val="auto"/>
        </w:rPr>
      </w:pPr>
    </w:p>
    <w:p>
      <w:pPr>
        <w:ind w:right="700" w:firstLine="709"/>
        <w:spacing w:after="0" w:line="282" w:lineRule="auto"/>
        <w:rPr>
          <w:sz w:val="20"/>
          <w:szCs w:val="20"/>
          <w:color w:val="auto"/>
        </w:rPr>
      </w:pPr>
      <w:r>
        <w:rPr>
          <w:rFonts w:ascii="Arial" w:cs="Arial" w:eastAsia="Arial" w:hAnsi="Arial"/>
          <w:sz w:val="18"/>
          <w:szCs w:val="18"/>
          <w:color w:val="auto"/>
        </w:rPr>
        <w:t>We have more than 580 service centers, branches and satellite locations, across approximately 462 locations throughout the United States and Canada. These serve as principal sales and service centers from which we provide our environmental, industrial and Safety-Kleen branch core services for our Environmental Services business as well as oil collection and product sales locations for our Safety-Kleen Sustainability Solutions (“SKSS”) business.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Active Hazardous Waste Management Properties</w:t>
      </w:r>
    </w:p>
    <w:p>
      <w:pPr>
        <w:spacing w:after="0" w:line="169" w:lineRule="exact"/>
        <w:rPr>
          <w:sz w:val="20"/>
          <w:szCs w:val="20"/>
          <w:color w:val="auto"/>
        </w:rPr>
      </w:pPr>
    </w:p>
    <w:p>
      <w:pPr>
        <w:ind w:right="20" w:firstLine="709"/>
        <w:spacing w:after="0" w:line="283" w:lineRule="auto"/>
        <w:rPr>
          <w:sz w:val="20"/>
          <w:szCs w:val="20"/>
          <w:color w:val="auto"/>
        </w:rPr>
      </w:pPr>
      <w:r>
        <w:rPr>
          <w:rFonts w:ascii="Arial" w:cs="Arial" w:eastAsia="Arial" w:hAnsi="Arial"/>
          <w:sz w:val="18"/>
          <w:szCs w:val="18"/>
          <w:b w:val="1"/>
          <w:bCs w:val="1"/>
          <w:i w:val="1"/>
          <w:iCs w:val="1"/>
          <w:color w:val="auto"/>
        </w:rPr>
        <w:t xml:space="preserve">Incinerator Facilities. </w:t>
      </w:r>
      <w:r>
        <w:rPr>
          <w:rFonts w:ascii="Arial" w:cs="Arial" w:eastAsia="Arial" w:hAnsi="Arial"/>
          <w:sz w:val="18"/>
          <w:szCs w:val="18"/>
          <w:color w:val="auto"/>
        </w:rPr>
        <w:t>We own and operate five incinerator facility locations that have a total of ten incinerators,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our new incinerator at Kimball, Nebraska which opened in late 2024. The nine incinerators that were operational during the full year had an overall average utilization of 87.6% on an annual practical capacity of 561,721 tons. Our practical capacity is not based on a theoretical 24-hour, seven-day operation, but rather is determined as the production level at which our incinerators can operate with an acceptable degree of efficiency, taking into consideration factors such as longer term customer demand, permanent staffing levels, operating shifts, holidays, scheduled maintenance and mix of the waste processed. Capacity utilization is calculated by dividing actual production tons by practical capacity at each incinerator. The following table summarizes the practical capacity and utilization for each incinerator for the year ended December 31, 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vMerge w:val="restart"/>
          </w:tcPr>
          <w:p>
            <w:pPr>
              <w:jc w:val="right"/>
              <w:ind w:right="8"/>
              <w:spacing w:after="0"/>
              <w:rPr>
                <w:sz w:val="20"/>
                <w:szCs w:val="20"/>
                <w:color w:val="auto"/>
              </w:rPr>
            </w:pPr>
            <w:r>
              <w:rPr>
                <w:rFonts w:ascii="Arial" w:cs="Arial" w:eastAsia="Arial" w:hAnsi="Arial"/>
                <w:sz w:val="18"/>
                <w:szCs w:val="18"/>
                <w:b w:val="1"/>
                <w:bCs w:val="1"/>
                <w:color w:val="auto"/>
                <w:w w:val="95"/>
              </w:rPr>
              <w:t>Practical Capacity</w:t>
            </w: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Utilization Rate</w:t>
            </w:r>
          </w:p>
        </w:tc>
        <w:tc>
          <w:tcPr>
            <w:tcW w:w="0" w:type="dxa"/>
            <w:vAlign w:val="bottom"/>
          </w:tcPr>
          <w:p>
            <w:pPr>
              <w:spacing w:after="0"/>
              <w:rPr>
                <w:sz w:val="1"/>
                <w:szCs w:val="1"/>
                <w:color w:val="auto"/>
              </w:rPr>
            </w:pPr>
          </w:p>
        </w:tc>
      </w:tr>
      <w:tr>
        <w:trPr>
          <w:trHeight w:val="177"/>
        </w:trPr>
        <w:tc>
          <w:tcPr>
            <w:tcW w:w="5140" w:type="dxa"/>
            <w:vAlign w:val="bottom"/>
          </w:tcPr>
          <w:p>
            <w:pPr>
              <w:spacing w:after="0"/>
              <w:rPr>
                <w:sz w:val="15"/>
                <w:szCs w:val="15"/>
                <w:color w:val="auto"/>
              </w:rPr>
            </w:pPr>
          </w:p>
        </w:tc>
        <w:tc>
          <w:tcPr>
            <w:tcW w:w="1600" w:type="dxa"/>
            <w:vAlign w:val="bottom"/>
            <w:vMerge w:val="restart"/>
          </w:tcPr>
          <w:p>
            <w:pPr>
              <w:jc w:val="right"/>
              <w:ind w:right="83"/>
              <w:spacing w:after="0"/>
              <w:rPr>
                <w:sz w:val="20"/>
                <w:szCs w:val="20"/>
                <w:color w:val="auto"/>
              </w:rPr>
            </w:pPr>
            <w:r>
              <w:rPr>
                <w:rFonts w:ascii="Arial" w:cs="Arial" w:eastAsia="Arial" w:hAnsi="Arial"/>
                <w:sz w:val="18"/>
                <w:szCs w:val="18"/>
                <w:b w:val="1"/>
                <w:bCs w:val="1"/>
                <w:color w:val="auto"/>
                <w:w w:val="99"/>
              </w:rPr>
              <w:t># of Incinerators</w:t>
            </w:r>
          </w:p>
        </w:tc>
        <w:tc>
          <w:tcPr>
            <w:tcW w:w="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5"/>
        </w:trPr>
        <w:tc>
          <w:tcPr>
            <w:tcW w:w="5140" w:type="dxa"/>
            <w:vAlign w:val="bottom"/>
            <w:tcBorders>
              <w:bottom w:val="single" w:sz="8" w:color="E6E6E6"/>
            </w:tcBorders>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600" w:type="dxa"/>
            <w:vAlign w:val="bottom"/>
            <w:tcBorders>
              <w:bottom w:val="single" w:sz="8" w:color="auto"/>
            </w:tcBorders>
          </w:tcPr>
          <w:p>
            <w:pPr>
              <w:jc w:val="right"/>
              <w:ind w:right="448"/>
              <w:spacing w:after="0"/>
              <w:rPr>
                <w:sz w:val="20"/>
                <w:szCs w:val="20"/>
                <w:color w:val="auto"/>
              </w:rPr>
            </w:pPr>
            <w:r>
              <w:rPr>
                <w:rFonts w:ascii="Arial" w:cs="Arial" w:eastAsia="Arial" w:hAnsi="Arial"/>
                <w:sz w:val="18"/>
                <w:szCs w:val="18"/>
                <w:b w:val="1"/>
                <w:bCs w:val="1"/>
                <w:color w:val="auto"/>
              </w:rPr>
              <w:t>(Tons)</w:t>
            </w:r>
          </w:p>
        </w:tc>
        <w:tc>
          <w:tcPr>
            <w:tcW w:w="80" w:type="dxa"/>
            <w:vAlign w:val="bottom"/>
            <w:tcBorders>
              <w:bottom w:val="single" w:sz="8" w:color="E6E6E6"/>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December 31, 2024</w:t>
            </w:r>
          </w:p>
        </w:tc>
        <w:tc>
          <w:tcPr>
            <w:tcW w:w="0" w:type="dxa"/>
            <w:vAlign w:val="bottom"/>
          </w:tcPr>
          <w:p>
            <w:pPr>
              <w:spacing w:after="0"/>
              <w:rPr>
                <w:sz w:val="1"/>
                <w:szCs w:val="1"/>
                <w:color w:val="auto"/>
              </w:rPr>
            </w:pPr>
          </w:p>
        </w:tc>
      </w:tr>
      <w:tr>
        <w:trPr>
          <w:trHeight w:val="271"/>
        </w:trPr>
        <w:tc>
          <w:tcPr>
            <w:tcW w:w="5140" w:type="dxa"/>
            <w:vAlign w:val="bottom"/>
            <w:shd w:val="clear" w:color="auto" w:fill="E6E6E6"/>
          </w:tcPr>
          <w:p>
            <w:pPr>
              <w:ind w:left="60"/>
              <w:spacing w:after="0" w:line="270" w:lineRule="exact"/>
              <w:rPr>
                <w:sz w:val="20"/>
                <w:szCs w:val="20"/>
                <w:color w:val="auto"/>
              </w:rPr>
            </w:pPr>
            <w:r>
              <w:rPr>
                <w:rFonts w:ascii="Arial" w:cs="Arial" w:eastAsia="Arial" w:hAnsi="Arial"/>
                <w:sz w:val="20"/>
                <w:szCs w:val="20"/>
                <w:color w:val="auto"/>
              </w:rPr>
              <w:t>Arkansas</w:t>
            </w:r>
            <w:r>
              <w:rPr>
                <w:rFonts w:ascii="Arial" w:cs="Arial" w:eastAsia="Arial" w:hAnsi="Arial"/>
                <w:sz w:val="25"/>
                <w:szCs w:val="25"/>
                <w:color w:val="auto"/>
                <w:vertAlign w:val="superscript"/>
              </w:rPr>
              <w:t>(1)</w:t>
            </w:r>
          </w:p>
        </w:tc>
        <w:tc>
          <w:tcPr>
            <w:tcW w:w="1600" w:type="dxa"/>
            <w:vAlign w:val="bottom"/>
            <w:shd w:val="clear" w:color="auto" w:fill="E6E6E6"/>
          </w:tcPr>
          <w:p>
            <w:pPr>
              <w:jc w:val="right"/>
              <w:ind w:right="23"/>
              <w:spacing w:after="0"/>
              <w:rPr>
                <w:sz w:val="20"/>
                <w:szCs w:val="20"/>
                <w:color w:val="auto"/>
              </w:rPr>
            </w:pPr>
            <w:r>
              <w:rPr>
                <w:rFonts w:ascii="Arial" w:cs="Arial" w:eastAsia="Arial" w:hAnsi="Arial"/>
                <w:sz w:val="20"/>
                <w:szCs w:val="20"/>
                <w:color w:val="auto"/>
              </w:rPr>
              <w:t>3</w:t>
            </w:r>
          </w:p>
        </w:tc>
        <w:tc>
          <w:tcPr>
            <w:tcW w:w="1680" w:type="dxa"/>
            <w:vAlign w:val="bottom"/>
            <w:gridSpan w:val="2"/>
            <w:shd w:val="clear" w:color="auto" w:fill="E6E6E6"/>
          </w:tcPr>
          <w:p>
            <w:pPr>
              <w:jc w:val="right"/>
              <w:ind w:right="28"/>
              <w:spacing w:after="0"/>
              <w:rPr>
                <w:sz w:val="20"/>
                <w:szCs w:val="20"/>
                <w:color w:val="auto"/>
              </w:rPr>
            </w:pPr>
            <w:r>
              <w:rPr>
                <w:rFonts w:ascii="Arial" w:cs="Arial" w:eastAsia="Arial" w:hAnsi="Arial"/>
                <w:sz w:val="20"/>
                <w:szCs w:val="20"/>
                <w:color w:val="auto"/>
              </w:rPr>
              <w:t>160,072</w:t>
            </w:r>
          </w:p>
        </w:tc>
        <w:tc>
          <w:tcPr>
            <w:tcW w:w="1700" w:type="dxa"/>
            <w:vAlign w:val="bottom"/>
            <w:gridSpan w:val="2"/>
            <w:shd w:val="clear" w:color="auto" w:fill="E6E6E6"/>
          </w:tcPr>
          <w:p>
            <w:pPr>
              <w:jc w:val="center"/>
              <w:ind w:left="22"/>
              <w:spacing w:after="0"/>
              <w:rPr>
                <w:sz w:val="20"/>
                <w:szCs w:val="20"/>
                <w:color w:val="auto"/>
              </w:rPr>
            </w:pPr>
            <w:r>
              <w:rPr>
                <w:rFonts w:ascii="Arial" w:cs="Arial" w:eastAsia="Arial" w:hAnsi="Arial"/>
                <w:sz w:val="20"/>
                <w:szCs w:val="20"/>
                <w:color w:val="auto"/>
                <w:w w:val="88"/>
              </w:rPr>
              <w:t>95.9%</w:t>
            </w:r>
          </w:p>
        </w:tc>
        <w:tc>
          <w:tcPr>
            <w:tcW w:w="0" w:type="dxa"/>
            <w:vAlign w:val="bottom"/>
          </w:tcPr>
          <w:p>
            <w:pPr>
              <w:spacing w:after="0"/>
              <w:rPr>
                <w:sz w:val="1"/>
                <w:szCs w:val="1"/>
                <w:color w:val="auto"/>
              </w:rPr>
            </w:pPr>
          </w:p>
        </w:tc>
      </w:tr>
      <w:tr>
        <w:trPr>
          <w:trHeight w:val="281"/>
        </w:trPr>
        <w:tc>
          <w:tcPr>
            <w:tcW w:w="5140" w:type="dxa"/>
            <w:vAlign w:val="bottom"/>
          </w:tcPr>
          <w:p>
            <w:pPr>
              <w:ind w:left="60"/>
              <w:spacing w:after="0" w:line="281" w:lineRule="exact"/>
              <w:rPr>
                <w:sz w:val="20"/>
                <w:szCs w:val="20"/>
                <w:color w:val="auto"/>
              </w:rPr>
            </w:pPr>
            <w:r>
              <w:rPr>
                <w:rFonts w:ascii="Arial" w:cs="Arial" w:eastAsia="Arial" w:hAnsi="Arial"/>
                <w:sz w:val="20"/>
                <w:szCs w:val="20"/>
                <w:color w:val="auto"/>
              </w:rPr>
              <w:t>Nebraska</w:t>
            </w:r>
            <w:r>
              <w:rPr>
                <w:rFonts w:ascii="Arial" w:cs="Arial" w:eastAsia="Arial" w:hAnsi="Arial"/>
                <w:sz w:val="25"/>
                <w:szCs w:val="25"/>
                <w:color w:val="auto"/>
                <w:vertAlign w:val="superscript"/>
              </w:rPr>
              <w:t>(2)</w:t>
            </w:r>
          </w:p>
        </w:tc>
        <w:tc>
          <w:tcPr>
            <w:tcW w:w="1600" w:type="dxa"/>
            <w:vAlign w:val="bottom"/>
          </w:tcPr>
          <w:p>
            <w:pPr>
              <w:jc w:val="right"/>
              <w:ind w:right="23"/>
              <w:spacing w:after="0"/>
              <w:rPr>
                <w:sz w:val="20"/>
                <w:szCs w:val="20"/>
                <w:color w:val="auto"/>
              </w:rPr>
            </w:pPr>
            <w:r>
              <w:rPr>
                <w:rFonts w:ascii="Arial" w:cs="Arial" w:eastAsia="Arial" w:hAnsi="Arial"/>
                <w:sz w:val="20"/>
                <w:szCs w:val="20"/>
                <w:color w:val="auto"/>
              </w:rPr>
              <w:t>2</w:t>
            </w:r>
          </w:p>
        </w:tc>
        <w:tc>
          <w:tcPr>
            <w:tcW w:w="1680" w:type="dxa"/>
            <w:vAlign w:val="bottom"/>
            <w:gridSpan w:val="2"/>
          </w:tcPr>
          <w:p>
            <w:pPr>
              <w:jc w:val="right"/>
              <w:ind w:right="28"/>
              <w:spacing w:after="0"/>
              <w:rPr>
                <w:sz w:val="20"/>
                <w:szCs w:val="20"/>
                <w:color w:val="auto"/>
              </w:rPr>
            </w:pPr>
            <w:r>
              <w:rPr>
                <w:rFonts w:ascii="Arial" w:cs="Arial" w:eastAsia="Arial" w:hAnsi="Arial"/>
                <w:sz w:val="20"/>
                <w:szCs w:val="20"/>
                <w:color w:val="auto"/>
              </w:rPr>
              <w:t>58,808</w:t>
            </w:r>
          </w:p>
        </w:tc>
        <w:tc>
          <w:tcPr>
            <w:tcW w:w="170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86.2%</w:t>
            </w:r>
          </w:p>
        </w:tc>
        <w:tc>
          <w:tcPr>
            <w:tcW w:w="0" w:type="dxa"/>
            <w:vAlign w:val="bottom"/>
          </w:tcPr>
          <w:p>
            <w:pPr>
              <w:spacing w:after="0"/>
              <w:rPr>
                <w:sz w:val="1"/>
                <w:szCs w:val="1"/>
                <w:color w:val="auto"/>
              </w:rPr>
            </w:pPr>
          </w:p>
        </w:tc>
      </w:tr>
      <w:tr>
        <w:trPr>
          <w:trHeight w:val="281"/>
        </w:trPr>
        <w:tc>
          <w:tcPr>
            <w:tcW w:w="5140" w:type="dxa"/>
            <w:vAlign w:val="bottom"/>
            <w:shd w:val="clear" w:color="auto" w:fill="E6E6E6"/>
          </w:tcPr>
          <w:p>
            <w:pPr>
              <w:ind w:left="60"/>
              <w:spacing w:after="0"/>
              <w:rPr>
                <w:sz w:val="20"/>
                <w:szCs w:val="20"/>
                <w:color w:val="auto"/>
              </w:rPr>
            </w:pPr>
            <w:r>
              <w:rPr>
                <w:rFonts w:ascii="Arial" w:cs="Arial" w:eastAsia="Arial" w:hAnsi="Arial"/>
                <w:sz w:val="20"/>
                <w:szCs w:val="20"/>
                <w:color w:val="auto"/>
              </w:rPr>
              <w:t>Utah</w:t>
            </w:r>
          </w:p>
        </w:tc>
        <w:tc>
          <w:tcPr>
            <w:tcW w:w="1600" w:type="dxa"/>
            <w:vAlign w:val="bottom"/>
            <w:shd w:val="clear" w:color="auto" w:fill="E6E6E6"/>
          </w:tcPr>
          <w:p>
            <w:pPr>
              <w:jc w:val="right"/>
              <w:ind w:right="23"/>
              <w:spacing w:after="0"/>
              <w:rPr>
                <w:sz w:val="20"/>
                <w:szCs w:val="20"/>
                <w:color w:val="auto"/>
              </w:rPr>
            </w:pPr>
            <w:r>
              <w:rPr>
                <w:rFonts w:ascii="Arial" w:cs="Arial" w:eastAsia="Arial" w:hAnsi="Arial"/>
                <w:sz w:val="20"/>
                <w:szCs w:val="20"/>
                <w:color w:val="auto"/>
              </w:rPr>
              <w:t>1</w:t>
            </w:r>
          </w:p>
        </w:tc>
        <w:tc>
          <w:tcPr>
            <w:tcW w:w="1680" w:type="dxa"/>
            <w:vAlign w:val="bottom"/>
            <w:gridSpan w:val="2"/>
            <w:shd w:val="clear" w:color="auto" w:fill="E6E6E6"/>
          </w:tcPr>
          <w:p>
            <w:pPr>
              <w:jc w:val="right"/>
              <w:ind w:right="28"/>
              <w:spacing w:after="0"/>
              <w:rPr>
                <w:sz w:val="20"/>
                <w:szCs w:val="20"/>
                <w:color w:val="auto"/>
              </w:rPr>
            </w:pPr>
            <w:r>
              <w:rPr>
                <w:rFonts w:ascii="Arial" w:cs="Arial" w:eastAsia="Arial" w:hAnsi="Arial"/>
                <w:sz w:val="20"/>
                <w:szCs w:val="20"/>
                <w:color w:val="auto"/>
              </w:rPr>
              <w:t>66,815</w:t>
            </w:r>
          </w:p>
        </w:tc>
        <w:tc>
          <w:tcPr>
            <w:tcW w:w="1700" w:type="dxa"/>
            <w:vAlign w:val="bottom"/>
            <w:gridSpan w:val="2"/>
            <w:shd w:val="clear" w:color="auto" w:fill="E6E6E6"/>
          </w:tcPr>
          <w:p>
            <w:pPr>
              <w:jc w:val="center"/>
              <w:ind w:left="22"/>
              <w:spacing w:after="0"/>
              <w:rPr>
                <w:sz w:val="20"/>
                <w:szCs w:val="20"/>
                <w:color w:val="auto"/>
              </w:rPr>
            </w:pPr>
            <w:r>
              <w:rPr>
                <w:rFonts w:ascii="Arial" w:cs="Arial" w:eastAsia="Arial" w:hAnsi="Arial"/>
                <w:sz w:val="20"/>
                <w:szCs w:val="20"/>
                <w:color w:val="auto"/>
                <w:w w:val="88"/>
              </w:rPr>
              <w:t>97.3%</w:t>
            </w:r>
          </w:p>
        </w:tc>
        <w:tc>
          <w:tcPr>
            <w:tcW w:w="0" w:type="dxa"/>
            <w:vAlign w:val="bottom"/>
          </w:tcPr>
          <w:p>
            <w:pPr>
              <w:spacing w:after="0"/>
              <w:rPr>
                <w:sz w:val="1"/>
                <w:szCs w:val="1"/>
                <w:color w:val="auto"/>
              </w:rPr>
            </w:pPr>
          </w:p>
        </w:tc>
      </w:tr>
      <w:tr>
        <w:trPr>
          <w:trHeight w:val="275"/>
        </w:trPr>
        <w:tc>
          <w:tcPr>
            <w:tcW w:w="5140" w:type="dxa"/>
            <w:vAlign w:val="bottom"/>
          </w:tcPr>
          <w:p>
            <w:pPr>
              <w:ind w:left="60"/>
              <w:spacing w:after="0"/>
              <w:rPr>
                <w:sz w:val="20"/>
                <w:szCs w:val="20"/>
                <w:color w:val="auto"/>
              </w:rPr>
            </w:pPr>
            <w:r>
              <w:rPr>
                <w:rFonts w:ascii="Arial" w:cs="Arial" w:eastAsia="Arial" w:hAnsi="Arial"/>
                <w:sz w:val="20"/>
                <w:szCs w:val="20"/>
                <w:color w:val="auto"/>
              </w:rPr>
              <w:t>Texas</w:t>
            </w:r>
          </w:p>
        </w:tc>
        <w:tc>
          <w:tcPr>
            <w:tcW w:w="1600" w:type="dxa"/>
            <w:vAlign w:val="bottom"/>
          </w:tcPr>
          <w:p>
            <w:pPr>
              <w:jc w:val="right"/>
              <w:ind w:right="23"/>
              <w:spacing w:after="0"/>
              <w:rPr>
                <w:sz w:val="20"/>
                <w:szCs w:val="20"/>
                <w:color w:val="auto"/>
              </w:rPr>
            </w:pPr>
            <w:r>
              <w:rPr>
                <w:rFonts w:ascii="Arial" w:cs="Arial" w:eastAsia="Arial" w:hAnsi="Arial"/>
                <w:sz w:val="20"/>
                <w:szCs w:val="20"/>
                <w:color w:val="auto"/>
              </w:rPr>
              <w:t>3</w:t>
            </w:r>
          </w:p>
        </w:tc>
        <w:tc>
          <w:tcPr>
            <w:tcW w:w="1680" w:type="dxa"/>
            <w:vAlign w:val="bottom"/>
            <w:gridSpan w:val="2"/>
          </w:tcPr>
          <w:p>
            <w:pPr>
              <w:jc w:val="right"/>
              <w:ind w:right="28"/>
              <w:spacing w:after="0"/>
              <w:rPr>
                <w:sz w:val="20"/>
                <w:szCs w:val="20"/>
                <w:color w:val="auto"/>
              </w:rPr>
            </w:pPr>
            <w:r>
              <w:rPr>
                <w:rFonts w:ascii="Arial" w:cs="Arial" w:eastAsia="Arial" w:hAnsi="Arial"/>
                <w:sz w:val="20"/>
                <w:szCs w:val="20"/>
                <w:color w:val="auto"/>
              </w:rPr>
              <w:t>165,500</w:t>
            </w:r>
          </w:p>
        </w:tc>
        <w:tc>
          <w:tcPr>
            <w:tcW w:w="170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77.6%</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E6E6E6"/>
            </w:tcBorders>
            <w:shd w:val="clear" w:color="auto" w:fill="E6E6E6"/>
          </w:tcPr>
          <w:p>
            <w:pPr>
              <w:ind w:left="60"/>
              <w:spacing w:after="0" w:line="277" w:lineRule="exact"/>
              <w:rPr>
                <w:sz w:val="20"/>
                <w:szCs w:val="20"/>
                <w:color w:val="auto"/>
              </w:rPr>
            </w:pPr>
            <w:r>
              <w:rPr>
                <w:rFonts w:ascii="Arial" w:cs="Arial" w:eastAsia="Arial" w:hAnsi="Arial"/>
                <w:sz w:val="20"/>
                <w:szCs w:val="20"/>
                <w:color w:val="auto"/>
              </w:rPr>
              <w:t>Ontario, Canada</w:t>
            </w:r>
            <w:r>
              <w:rPr>
                <w:rFonts w:ascii="Arial" w:cs="Arial" w:eastAsia="Arial" w:hAnsi="Arial"/>
                <w:sz w:val="25"/>
                <w:szCs w:val="25"/>
                <w:color w:val="auto"/>
                <w:vertAlign w:val="superscript"/>
              </w:rPr>
              <w:t>(1)</w:t>
            </w:r>
          </w:p>
        </w:tc>
        <w:tc>
          <w:tcPr>
            <w:tcW w:w="1600" w:type="dxa"/>
            <w:vAlign w:val="bottom"/>
            <w:tcBorders>
              <w:bottom w:val="single" w:sz="8" w:color="auto"/>
            </w:tcBorders>
            <w:shd w:val="clear" w:color="auto" w:fill="E6E6E6"/>
          </w:tcPr>
          <w:p>
            <w:pPr>
              <w:jc w:val="right"/>
              <w:ind w:right="23"/>
              <w:spacing w:after="0"/>
              <w:rPr>
                <w:sz w:val="20"/>
                <w:szCs w:val="20"/>
                <w:color w:val="auto"/>
              </w:rPr>
            </w:pPr>
            <w:r>
              <w:rPr>
                <w:rFonts w:ascii="Arial" w:cs="Arial" w:eastAsia="Arial" w:hAnsi="Arial"/>
                <w:sz w:val="20"/>
                <w:szCs w:val="20"/>
                <w:color w:val="auto"/>
              </w:rPr>
              <w:t>1</w:t>
            </w:r>
          </w:p>
        </w:tc>
        <w:tc>
          <w:tcPr>
            <w:tcW w:w="80" w:type="dxa"/>
            <w:vAlign w:val="bottom"/>
            <w:tcBorders>
              <w:bottom w:val="single" w:sz="8" w:color="E6E6E6"/>
            </w:tcBorders>
            <w:shd w:val="clear" w:color="auto" w:fill="E6E6E6"/>
          </w:tcPr>
          <w:p>
            <w:pPr>
              <w:spacing w:after="0"/>
              <w:rPr>
                <w:sz w:val="24"/>
                <w:szCs w:val="24"/>
                <w:color w:val="auto"/>
              </w:rPr>
            </w:pPr>
          </w:p>
        </w:tc>
        <w:tc>
          <w:tcPr>
            <w:tcW w:w="1600" w:type="dxa"/>
            <w:vAlign w:val="bottom"/>
            <w:tcBorders>
              <w:bottom w:val="single" w:sz="8" w:color="auto"/>
            </w:tcBorders>
            <w:shd w:val="clear" w:color="auto" w:fill="E6E6E6"/>
          </w:tcPr>
          <w:p>
            <w:pPr>
              <w:jc w:val="right"/>
              <w:ind w:right="28"/>
              <w:spacing w:after="0"/>
              <w:rPr>
                <w:sz w:val="20"/>
                <w:szCs w:val="20"/>
                <w:color w:val="auto"/>
              </w:rPr>
            </w:pPr>
            <w:r>
              <w:rPr>
                <w:rFonts w:ascii="Arial" w:cs="Arial" w:eastAsia="Arial" w:hAnsi="Arial"/>
                <w:sz w:val="20"/>
                <w:szCs w:val="20"/>
                <w:color w:val="auto"/>
              </w:rPr>
              <w:t>110,526</w:t>
            </w:r>
          </w:p>
        </w:tc>
        <w:tc>
          <w:tcPr>
            <w:tcW w:w="1700" w:type="dxa"/>
            <w:vAlign w:val="bottom"/>
            <w:tcBorders>
              <w:bottom w:val="single" w:sz="8" w:color="E6E6E6"/>
            </w:tcBorders>
            <w:gridSpan w:val="2"/>
            <w:shd w:val="clear" w:color="auto" w:fill="E6E6E6"/>
          </w:tcPr>
          <w:p>
            <w:pPr>
              <w:jc w:val="center"/>
              <w:ind w:left="22"/>
              <w:spacing w:after="0"/>
              <w:rPr>
                <w:sz w:val="20"/>
                <w:szCs w:val="20"/>
                <w:color w:val="auto"/>
              </w:rPr>
            </w:pPr>
            <w:r>
              <w:rPr>
                <w:rFonts w:ascii="Arial" w:cs="Arial" w:eastAsia="Arial" w:hAnsi="Arial"/>
                <w:sz w:val="20"/>
                <w:szCs w:val="20"/>
                <w:color w:val="auto"/>
                <w:w w:val="88"/>
              </w:rPr>
              <w:t>85.6%</w:t>
            </w:r>
          </w:p>
        </w:tc>
        <w:tc>
          <w:tcPr>
            <w:tcW w:w="0" w:type="dxa"/>
            <w:vAlign w:val="bottom"/>
          </w:tcPr>
          <w:p>
            <w:pPr>
              <w:spacing w:after="0"/>
              <w:rPr>
                <w:sz w:val="1"/>
                <w:szCs w:val="1"/>
                <w:color w:val="auto"/>
              </w:rPr>
            </w:pPr>
          </w:p>
        </w:tc>
      </w:tr>
      <w:tr>
        <w:trPr>
          <w:trHeight w:val="221"/>
        </w:trPr>
        <w:tc>
          <w:tcPr>
            <w:tcW w:w="5140" w:type="dxa"/>
            <w:vAlign w:val="bottom"/>
          </w:tcPr>
          <w:p>
            <w:pPr>
              <w:spacing w:after="0"/>
              <w:rPr>
                <w:sz w:val="19"/>
                <w:szCs w:val="19"/>
                <w:color w:val="auto"/>
              </w:rPr>
            </w:pPr>
          </w:p>
        </w:tc>
        <w:tc>
          <w:tcPr>
            <w:tcW w:w="1600" w:type="dxa"/>
            <w:vAlign w:val="bottom"/>
          </w:tcPr>
          <w:p>
            <w:pPr>
              <w:jc w:val="right"/>
              <w:ind w:right="23"/>
              <w:spacing w:after="0" w:line="221" w:lineRule="exact"/>
              <w:rPr>
                <w:sz w:val="20"/>
                <w:szCs w:val="20"/>
                <w:color w:val="auto"/>
              </w:rPr>
            </w:pPr>
            <w:r>
              <w:rPr>
                <w:rFonts w:ascii="Arial" w:cs="Arial" w:eastAsia="Arial" w:hAnsi="Arial"/>
                <w:sz w:val="20"/>
                <w:szCs w:val="20"/>
                <w:color w:val="auto"/>
              </w:rPr>
              <w:t>10</w:t>
            </w:r>
          </w:p>
        </w:tc>
        <w:tc>
          <w:tcPr>
            <w:tcW w:w="1680" w:type="dxa"/>
            <w:vAlign w:val="bottom"/>
            <w:gridSpan w:val="2"/>
          </w:tcPr>
          <w:p>
            <w:pPr>
              <w:jc w:val="right"/>
              <w:ind w:right="28"/>
              <w:spacing w:after="0" w:line="221" w:lineRule="exact"/>
              <w:rPr>
                <w:sz w:val="20"/>
                <w:szCs w:val="20"/>
                <w:color w:val="auto"/>
              </w:rPr>
            </w:pPr>
            <w:r>
              <w:rPr>
                <w:rFonts w:ascii="Arial" w:cs="Arial" w:eastAsia="Arial" w:hAnsi="Arial"/>
                <w:sz w:val="20"/>
                <w:szCs w:val="20"/>
                <w:color w:val="auto"/>
              </w:rPr>
              <w:t>561,721</w:t>
            </w:r>
          </w:p>
        </w:tc>
        <w:tc>
          <w:tcPr>
            <w:tcW w:w="1700" w:type="dxa"/>
            <w:vAlign w:val="bottom"/>
            <w:gridSpan w:val="2"/>
          </w:tcPr>
          <w:p>
            <w:pPr>
              <w:jc w:val="center"/>
              <w:ind w:left="22"/>
              <w:spacing w:after="0" w:line="221" w:lineRule="exact"/>
              <w:rPr>
                <w:sz w:val="20"/>
                <w:szCs w:val="20"/>
                <w:color w:val="auto"/>
              </w:rPr>
            </w:pPr>
            <w:r>
              <w:rPr>
                <w:rFonts w:ascii="Arial" w:cs="Arial" w:eastAsia="Arial" w:hAnsi="Arial"/>
                <w:sz w:val="20"/>
                <w:szCs w:val="20"/>
                <w:color w:val="auto"/>
                <w:w w:val="88"/>
              </w:rPr>
              <w:t>87.6%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-43180</wp:posOffset>
            </wp:positionV>
            <wp:extent cx="2117725" cy="5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17725" cy="5016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_____________________</w:t>
      </w:r>
    </w:p>
    <w:p>
      <w:pPr>
        <w:ind w:left="360"/>
        <w:spacing w:after="0"/>
        <w:rPr>
          <w:sz w:val="20"/>
          <w:szCs w:val="20"/>
          <w:color w:val="auto"/>
        </w:rPr>
      </w:pPr>
      <w:r>
        <w:rPr>
          <w:rFonts w:ascii="Arial" w:cs="Arial" w:eastAsia="Arial" w:hAnsi="Arial"/>
          <w:sz w:val="18"/>
          <w:szCs w:val="18"/>
          <w:color w:val="auto"/>
        </w:rPr>
        <w:t>(1)  In 2024, following a review of the waste streams processed at our Arkansas and Ontario facilities, we have increased</w:t>
      </w:r>
    </w:p>
    <w:p>
      <w:pPr>
        <w:spacing w:after="0" w:line="29" w:lineRule="exact"/>
        <w:rPr>
          <w:sz w:val="20"/>
          <w:szCs w:val="20"/>
          <w:color w:val="auto"/>
        </w:rPr>
      </w:pPr>
    </w:p>
    <w:p>
      <w:pPr>
        <w:ind w:left="720" w:right="540"/>
        <w:spacing w:after="0" w:line="246" w:lineRule="auto"/>
        <w:rPr>
          <w:sz w:val="20"/>
          <w:szCs w:val="20"/>
          <w:color w:val="auto"/>
        </w:rPr>
      </w:pPr>
      <w:r>
        <w:rPr>
          <w:rFonts w:ascii="Arial" w:cs="Arial" w:eastAsia="Arial" w:hAnsi="Arial"/>
          <w:sz w:val="20"/>
          <w:szCs w:val="20"/>
          <w:color w:val="auto"/>
        </w:rPr>
        <w:t>the capacity in Arkansas by 15,000 tons and reduced the capacity in Ontario by the same amount. These updated amounts are reflected in the table above.</w:t>
      </w:r>
    </w:p>
    <w:p>
      <w:pPr>
        <w:spacing w:after="0" w:line="1" w:lineRule="exact"/>
        <w:rPr>
          <w:sz w:val="20"/>
          <w:szCs w:val="20"/>
          <w:color w:val="auto"/>
        </w:rPr>
      </w:pPr>
    </w:p>
    <w:p>
      <w:pPr>
        <w:ind w:left="720" w:right="360" w:hanging="359"/>
        <w:spacing w:after="0" w:line="276" w:lineRule="auto"/>
        <w:tabs>
          <w:tab w:leader="none" w:pos="700" w:val="left"/>
        </w:tabs>
        <w:rPr>
          <w:sz w:val="20"/>
          <w:szCs w:val="20"/>
          <w:color w:val="auto"/>
        </w:rPr>
      </w:pPr>
      <w:r>
        <w:rPr>
          <w:rFonts w:ascii="Arial" w:cs="Arial" w:eastAsia="Arial" w:hAnsi="Arial"/>
          <w:sz w:val="20"/>
          <w:szCs w:val="20"/>
          <w:color w:val="auto"/>
        </w:rPr>
        <w:t>(2)</w:t>
        <w:tab/>
        <w:t>Excludes any tonnage disposed of at our second incinerator which opened in late 2024. For 2025, this incinerator’s practical capacity will increase by 70,000 tons.</w:t>
      </w:r>
    </w:p>
    <w:p>
      <w:pPr>
        <w:sectPr>
          <w:pgSz w:w="11880" w:h="15480" w:orient="portrait"/>
          <w:cols w:equalWidth="0" w:num="1">
            <w:col w:w="10120"/>
          </w:cols>
          <w:pgMar w:left="880" w:top="575" w:right="88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880" w:h="15480" w:orient="portrait"/>
          <w:cols w:equalWidth="0" w:num="1">
            <w:col w:w="10120"/>
          </w:cols>
          <w:pgMar w:left="880" w:top="575" w:right="880" w:bottom="0" w:gutter="0" w:footer="0" w:header="0"/>
          <w:type w:val="continuous"/>
        </w:sectPr>
      </w:pPr>
    </w:p>
    <w:bookmarkStart w:id="34" w:name="page35"/>
    <w:bookmarkEnd w:id="34"/>
    <w:p>
      <w:pPr>
        <w:ind w:right="80" w:firstLine="709"/>
        <w:spacing w:after="0" w:line="256" w:lineRule="auto"/>
        <w:rPr>
          <w:sz w:val="20"/>
          <w:szCs w:val="20"/>
          <w:color w:val="auto"/>
        </w:rPr>
      </w:pPr>
      <w:r>
        <w:rPr>
          <w:rFonts w:ascii="Arial" w:cs="Arial" w:eastAsia="Arial" w:hAnsi="Arial"/>
          <w:sz w:val="20"/>
          <w:szCs w:val="20"/>
          <w:color w:val="auto"/>
        </w:rPr>
        <w:t>Our incinerators offer a wide range of technological capabilities to customers through this network. In the United States, we provide incineration through one fluidized bed thermal oxidation unit and four solids and liquids-capable incinerator facilities, including the new incinerator in Kimball, Nebraska and we operate one active hazardous waste liquid injection incinerator in Canada.</w:t>
      </w:r>
    </w:p>
    <w:p>
      <w:pPr>
        <w:spacing w:after="0" w:line="119" w:lineRule="exact"/>
        <w:rPr>
          <w:sz w:val="20"/>
          <w:szCs w:val="20"/>
          <w:color w:val="auto"/>
        </w:rPr>
      </w:pPr>
    </w:p>
    <w:p>
      <w:pPr>
        <w:ind w:firstLine="709"/>
        <w:spacing w:after="0" w:line="267" w:lineRule="auto"/>
        <w:rPr>
          <w:sz w:val="20"/>
          <w:szCs w:val="20"/>
          <w:color w:val="auto"/>
        </w:rPr>
      </w:pPr>
      <w:r>
        <w:rPr>
          <w:rFonts w:ascii="Arial" w:cs="Arial" w:eastAsia="Arial" w:hAnsi="Arial"/>
          <w:sz w:val="19"/>
          <w:szCs w:val="19"/>
          <w:b w:val="1"/>
          <w:bCs w:val="1"/>
          <w:i w:val="1"/>
          <w:iCs w:val="1"/>
          <w:color w:val="auto"/>
        </w:rPr>
        <w:t xml:space="preserve">Commercial and Non-Commercial Landfills. </w:t>
      </w:r>
      <w:r>
        <w:rPr>
          <w:rFonts w:ascii="Arial" w:cs="Arial" w:eastAsia="Arial" w:hAnsi="Arial"/>
          <w:sz w:val="19"/>
          <w:szCs w:val="19"/>
          <w:color w:val="auto"/>
        </w:rPr>
        <w:t>In the United States and Canada, we operate seven commercial landfills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approximately 26.4 million cubic yards of remaining highly probable airspace. Six of our commercial landfills are designed and permitted for the disposal of hazardous waste and one landfill is operated for non-hazardous industrial waste disposal and, to a lesser extent, municipal solid waste. In addition to our commercial landfills, we also own and operate one non-commercial landfill that only accepts waste from our on-site incinerator. See “Landfill Accounting” within Note 2, “Significant Accounting Policies,” to our consolidated financial statements included in Item 8 of this report for additional information on our commercial and non-commercial landfills.</w:t>
      </w:r>
    </w:p>
    <w:p>
      <w:pPr>
        <w:spacing w:after="0" w:line="111" w:lineRule="exact"/>
        <w:rPr>
          <w:sz w:val="20"/>
          <w:szCs w:val="20"/>
          <w:color w:val="auto"/>
        </w:rPr>
      </w:pPr>
    </w:p>
    <w:p>
      <w:pPr>
        <w:ind w:right="20" w:firstLine="709"/>
        <w:spacing w:after="0" w:line="305" w:lineRule="auto"/>
        <w:rPr>
          <w:sz w:val="20"/>
          <w:szCs w:val="20"/>
          <w:color w:val="auto"/>
        </w:rPr>
      </w:pPr>
      <w:r>
        <w:rPr>
          <w:rFonts w:ascii="Arial" w:cs="Arial" w:eastAsia="Arial" w:hAnsi="Arial"/>
          <w:sz w:val="18"/>
          <w:szCs w:val="18"/>
          <w:b w:val="1"/>
          <w:bCs w:val="1"/>
          <w:i w:val="1"/>
          <w:iCs w:val="1"/>
          <w:color w:val="auto"/>
        </w:rPr>
        <w:t xml:space="preserve">Wastewater Treatment Facilities. </w:t>
      </w:r>
      <w:r>
        <w:rPr>
          <w:rFonts w:ascii="Arial" w:cs="Arial" w:eastAsia="Arial" w:hAnsi="Arial"/>
          <w:sz w:val="18"/>
          <w:szCs w:val="18"/>
          <w:color w:val="auto"/>
        </w:rPr>
        <w:t>We operate a total of eleven facilities, of which nine are owned and two are leased,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offer a range of wastewater treatment technologies and services. Wastewater treatment consists primarily of three types of services: hazardous wastewater treatment, sludge dewatering or drying and non-hazardous wastewater treatment.</w:t>
      </w:r>
    </w:p>
    <w:p>
      <w:pPr>
        <w:spacing w:after="0" w:line="78" w:lineRule="exact"/>
        <w:rPr>
          <w:sz w:val="20"/>
          <w:szCs w:val="20"/>
          <w:color w:val="auto"/>
        </w:rPr>
      </w:pPr>
    </w:p>
    <w:p>
      <w:pPr>
        <w:ind w:right="80" w:firstLine="709"/>
        <w:spacing w:after="0" w:line="269" w:lineRule="auto"/>
        <w:rPr>
          <w:sz w:val="20"/>
          <w:szCs w:val="20"/>
          <w:color w:val="auto"/>
        </w:rPr>
      </w:pPr>
      <w:r>
        <w:rPr>
          <w:rFonts w:ascii="Arial" w:cs="Arial" w:eastAsia="Arial" w:hAnsi="Arial"/>
          <w:sz w:val="19"/>
          <w:szCs w:val="19"/>
          <w:b w:val="1"/>
          <w:bCs w:val="1"/>
          <w:i w:val="1"/>
          <w:iCs w:val="1"/>
          <w:color w:val="auto"/>
        </w:rPr>
        <w:t xml:space="preserve">Treatment, Storage and Disposal Facilities. </w:t>
      </w:r>
      <w:r>
        <w:rPr>
          <w:rFonts w:ascii="Arial" w:cs="Arial" w:eastAsia="Arial" w:hAnsi="Arial"/>
          <w:sz w:val="19"/>
          <w:szCs w:val="19"/>
          <w:color w:val="auto"/>
        </w:rPr>
        <w:t>We operate 33 TSDFs in the United States and Canada, of which 30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owned and three are leased. Our TSDFs facilitate the treatment and movement of materials among our network of service centers and treatment and disposal facilities. Transportation may be accomplished by truck, rail, barge or a combination of modes, with our own assets or in conjunction with third-party transporters. Specially designed containment systems, vehicles and other equipment permitted for waste transport, together with drivers trained in transportation and waste handling procedures, provide for the movement of customer waste streams.</w:t>
      </w:r>
    </w:p>
    <w:p>
      <w:pPr>
        <w:spacing w:after="0" w:line="107" w:lineRule="exact"/>
        <w:rPr>
          <w:sz w:val="20"/>
          <w:szCs w:val="20"/>
          <w:color w:val="auto"/>
        </w:rPr>
      </w:pPr>
    </w:p>
    <w:p>
      <w:pPr>
        <w:ind w:right="240" w:firstLine="709"/>
        <w:spacing w:after="0" w:line="407" w:lineRule="auto"/>
        <w:rPr>
          <w:sz w:val="20"/>
          <w:szCs w:val="20"/>
          <w:color w:val="auto"/>
        </w:rPr>
      </w:pPr>
      <w:r>
        <w:rPr>
          <w:rFonts w:ascii="Arial" w:cs="Arial" w:eastAsia="Arial" w:hAnsi="Arial"/>
          <w:sz w:val="16"/>
          <w:szCs w:val="16"/>
          <w:b w:val="1"/>
          <w:bCs w:val="1"/>
          <w:i w:val="1"/>
          <w:iCs w:val="1"/>
          <w:color w:val="auto"/>
        </w:rPr>
        <w:t xml:space="preserve">Other Hazardous Waste Management Properties. </w:t>
      </w:r>
      <w:r>
        <w:rPr>
          <w:rFonts w:ascii="Arial" w:cs="Arial" w:eastAsia="Arial" w:hAnsi="Arial"/>
          <w:sz w:val="16"/>
          <w:szCs w:val="16"/>
          <w:color w:val="auto"/>
        </w:rPr>
        <w:t>We also operate eight facilities specializing in solvent recovery,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seven owned and one leased, and we own and operate two autoclave facilities specifically designed to treat medical waste.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Oil Processing, Blending and Packaging Facilities</w:t>
      </w:r>
    </w:p>
    <w:p>
      <w:pPr>
        <w:spacing w:after="0" w:line="169" w:lineRule="exact"/>
        <w:rPr>
          <w:sz w:val="20"/>
          <w:szCs w:val="20"/>
          <w:color w:val="auto"/>
        </w:rPr>
      </w:pPr>
    </w:p>
    <w:p>
      <w:pPr>
        <w:ind w:right="420" w:firstLine="709"/>
        <w:spacing w:after="0" w:line="279" w:lineRule="auto"/>
        <w:rPr>
          <w:sz w:val="20"/>
          <w:szCs w:val="20"/>
          <w:color w:val="auto"/>
        </w:rPr>
      </w:pPr>
      <w:r>
        <w:rPr>
          <w:rFonts w:ascii="Arial" w:cs="Arial" w:eastAsia="Arial" w:hAnsi="Arial"/>
          <w:sz w:val="20"/>
          <w:szCs w:val="20"/>
          <w:b w:val="1"/>
          <w:bCs w:val="1"/>
          <w:i w:val="1"/>
          <w:iCs w:val="1"/>
          <w:color w:val="auto"/>
        </w:rPr>
        <w:t xml:space="preserve">Oil Terminals. </w:t>
      </w:r>
      <w:r>
        <w:rPr>
          <w:rFonts w:ascii="Arial" w:cs="Arial" w:eastAsia="Arial" w:hAnsi="Arial"/>
          <w:sz w:val="20"/>
          <w:szCs w:val="20"/>
          <w:color w:val="auto"/>
        </w:rPr>
        <w:t>We operate a total of 90 oil terminals, of which 53 are owned and 37 are leased, which collect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process used oil prior to delivery to our re-refineries or distribution as recycled fuel oil.</w:t>
      </w:r>
    </w:p>
    <w:p>
      <w:pPr>
        <w:spacing w:after="0" w:line="96" w:lineRule="exact"/>
        <w:rPr>
          <w:sz w:val="20"/>
          <w:szCs w:val="20"/>
          <w:color w:val="auto"/>
        </w:rPr>
      </w:pPr>
    </w:p>
    <w:p>
      <w:pPr>
        <w:ind w:right="20" w:firstLine="709"/>
        <w:spacing w:after="0" w:line="257" w:lineRule="auto"/>
        <w:rPr>
          <w:sz w:val="20"/>
          <w:szCs w:val="20"/>
          <w:color w:val="auto"/>
        </w:rPr>
      </w:pPr>
      <w:r>
        <w:rPr>
          <w:rFonts w:ascii="Arial" w:cs="Arial" w:eastAsia="Arial" w:hAnsi="Arial"/>
          <w:sz w:val="20"/>
          <w:szCs w:val="20"/>
          <w:b w:val="1"/>
          <w:bCs w:val="1"/>
          <w:i w:val="1"/>
          <w:iCs w:val="1"/>
          <w:color w:val="auto"/>
        </w:rPr>
        <w:t xml:space="preserve">Oil Recycling and Re-refining Facilities. </w:t>
      </w:r>
      <w:r>
        <w:rPr>
          <w:rFonts w:ascii="Arial" w:cs="Arial" w:eastAsia="Arial" w:hAnsi="Arial"/>
          <w:sz w:val="20"/>
          <w:szCs w:val="20"/>
          <w:color w:val="auto"/>
        </w:rPr>
        <w:t>We own nine oil re-refineries, eight in the United States and one in Canada.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Currently our re-refinery in Newark, California is idled; however the location continues to operate as a co-located wastewater treatment, TSDF and oil terminal. The remaining re-refineries have sufficient capacity to continue processing our used oil collections into new re-refined oil, lubricants and byproducts.</w:t>
      </w:r>
    </w:p>
    <w:p>
      <w:pPr>
        <w:spacing w:after="0" w:line="118" w:lineRule="exact"/>
        <w:rPr>
          <w:sz w:val="20"/>
          <w:szCs w:val="20"/>
          <w:color w:val="auto"/>
        </w:rPr>
      </w:pPr>
    </w:p>
    <w:p>
      <w:pPr>
        <w:ind w:right="360" w:firstLine="709"/>
        <w:spacing w:after="0" w:line="279" w:lineRule="auto"/>
        <w:rPr>
          <w:sz w:val="20"/>
          <w:szCs w:val="20"/>
          <w:color w:val="auto"/>
        </w:rPr>
      </w:pPr>
      <w:r>
        <w:rPr>
          <w:rFonts w:ascii="Arial" w:cs="Arial" w:eastAsia="Arial" w:hAnsi="Arial"/>
          <w:sz w:val="20"/>
          <w:szCs w:val="20"/>
          <w:b w:val="1"/>
          <w:bCs w:val="1"/>
          <w:i w:val="1"/>
          <w:iCs w:val="1"/>
          <w:color w:val="auto"/>
        </w:rPr>
        <w:t xml:space="preserve">Oil Packaging and Blending Facilities. </w:t>
      </w:r>
      <w:r>
        <w:rPr>
          <w:rFonts w:ascii="Arial" w:cs="Arial" w:eastAsia="Arial" w:hAnsi="Arial"/>
          <w:sz w:val="20"/>
          <w:szCs w:val="20"/>
          <w:color w:val="auto"/>
        </w:rPr>
        <w:t>We operate a total of four oil packaging and blending facilities, of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three are owned and one is leased.</w:t>
      </w:r>
    </w:p>
    <w:p>
      <w:pPr>
        <w:spacing w:after="0" w:line="92"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171" w:lineRule="exact"/>
        <w:rPr>
          <w:sz w:val="20"/>
          <w:szCs w:val="20"/>
          <w:color w:val="auto"/>
        </w:rPr>
      </w:pPr>
    </w:p>
    <w:p>
      <w:pPr>
        <w:ind w:right="260" w:firstLine="709"/>
        <w:spacing w:after="0" w:line="276" w:lineRule="auto"/>
        <w:rPr>
          <w:sz w:val="20"/>
          <w:szCs w:val="20"/>
          <w:color w:val="auto"/>
        </w:rPr>
      </w:pPr>
      <w:r>
        <w:rPr>
          <w:rFonts w:ascii="Arial" w:cs="Arial" w:eastAsia="Arial" w:hAnsi="Arial"/>
          <w:sz w:val="20"/>
          <w:szCs w:val="20"/>
          <w:color w:val="auto"/>
        </w:rPr>
        <w:t>See Note 18, “Commitments and Contingencies,” to our consolidated financial statements included in Item 8 of this report for a description of legal proceedings.</w:t>
      </w:r>
    </w:p>
    <w:p>
      <w:pPr>
        <w:spacing w:after="0" w:line="9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100"/>
          </w:cols>
          <w:pgMar w:left="880" w:top="5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880" w:h="15480" w:orient="portrait"/>
          <w:cols w:equalWidth="0" w:num="1">
            <w:col w:w="10100"/>
          </w:cols>
          <w:pgMar w:left="880" w:top="575" w:right="900" w:bottom="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PART II</w:t>
      </w:r>
    </w:p>
    <w:p>
      <w:pPr>
        <w:spacing w:after="0" w:line="164" w:lineRule="exact"/>
        <w:rPr>
          <w:sz w:val="20"/>
          <w:szCs w:val="20"/>
          <w:color w:val="auto"/>
        </w:rPr>
      </w:pPr>
    </w:p>
    <w:p>
      <w:pPr>
        <w:ind w:right="200"/>
        <w:spacing w:after="0" w:line="280"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71" w:lineRule="exact"/>
        <w:rPr>
          <w:sz w:val="20"/>
          <w:szCs w:val="20"/>
          <w:color w:val="auto"/>
        </w:rPr>
      </w:pPr>
    </w:p>
    <w:p>
      <w:pPr>
        <w:ind w:right="20" w:firstLine="709"/>
        <w:spacing w:after="0" w:line="256" w:lineRule="auto"/>
        <w:rPr>
          <w:sz w:val="20"/>
          <w:szCs w:val="20"/>
          <w:color w:val="auto"/>
        </w:rPr>
      </w:pPr>
      <w:r>
        <w:rPr>
          <w:rFonts w:ascii="Arial" w:cs="Arial" w:eastAsia="Arial" w:hAnsi="Arial"/>
          <w:sz w:val="20"/>
          <w:szCs w:val="20"/>
          <w:color w:val="auto"/>
        </w:rPr>
        <w:t>Our common stock trades on the New York Stock Exchange (“NYSE”) under the symbol CLH. On February 12, 2025, there were 215 stockholders of record of our common stock, excluding stockholders whose shares were held in nominee, or "street name" accounts through brokers or banks. On our last record date, more than 126,000 additional stockholders beneficially held shares in street name accounts.</w:t>
      </w:r>
    </w:p>
    <w:p>
      <w:pPr>
        <w:spacing w:after="0" w:line="122" w:lineRule="exact"/>
        <w:rPr>
          <w:sz w:val="20"/>
          <w:szCs w:val="20"/>
          <w:color w:val="auto"/>
        </w:rPr>
      </w:pPr>
    </w:p>
    <w:p>
      <w:pPr>
        <w:ind w:right="60" w:firstLine="709"/>
        <w:spacing w:after="0" w:line="251" w:lineRule="auto"/>
        <w:rPr>
          <w:sz w:val="20"/>
          <w:szCs w:val="20"/>
          <w:color w:val="auto"/>
        </w:rPr>
      </w:pPr>
      <w:r>
        <w:rPr>
          <w:rFonts w:ascii="Arial" w:cs="Arial" w:eastAsia="Arial" w:hAnsi="Arial"/>
          <w:sz w:val="20"/>
          <w:szCs w:val="20"/>
          <w:color w:val="auto"/>
        </w:rPr>
        <w:t>We have never declared nor paid any cash dividends on our common stock, and we do not intend to pay any dividends on our common stock in the foreseeable future. We intend to retain our future earnings, if any, for use in the operation and expansion of our business, payment of our outstanding debt and our stock repurchase program. In addition, our current revolving credit agreement and the indentures and loan agreement governing our other outstanding debt limit the amount we could pay as cash dividends on or for repurchase of our common stock. For additional information surrounding our stock repurchase program, see Note 15, “Stockholders' Equity,” to our consolidated financial statements included in Item 8 of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171" w:lineRule="exact"/>
        <w:rPr>
          <w:sz w:val="20"/>
          <w:szCs w:val="20"/>
          <w:color w:val="auto"/>
        </w:rPr>
      </w:pPr>
    </w:p>
    <w:p>
      <w:pPr>
        <w:ind w:right="160" w:firstLine="709"/>
        <w:spacing w:after="0" w:line="303" w:lineRule="auto"/>
        <w:rPr>
          <w:sz w:val="20"/>
          <w:szCs w:val="20"/>
          <w:color w:val="auto"/>
        </w:rPr>
      </w:pPr>
      <w:r>
        <w:rPr>
          <w:rFonts w:ascii="Arial" w:cs="Arial" w:eastAsia="Arial" w:hAnsi="Arial"/>
          <w:sz w:val="19"/>
          <w:szCs w:val="19"/>
          <w:color w:val="auto"/>
        </w:rPr>
        <w:t>See Item 12, “Security Ownership of Certain Beneficial Owners and Management and Related Stockholder Matters,” for a description of the securities which are authorized for issuance under our equity compensation plans.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300" w:type="dxa"/>
            <w:vAlign w:val="bottom"/>
          </w:tcPr>
          <w:p>
            <w:pPr>
              <w:spacing w:after="0"/>
              <w:rPr>
                <w:sz w:val="18"/>
                <w:szCs w:val="18"/>
                <w:color w:val="auto"/>
              </w:rPr>
            </w:pPr>
          </w:p>
        </w:tc>
        <w:tc>
          <w:tcPr>
            <w:tcW w:w="1880" w:type="dxa"/>
            <w:vAlign w:val="bottom"/>
            <w:vMerge w:val="restart"/>
          </w:tcPr>
          <w:p>
            <w:pPr>
              <w:jc w:val="center"/>
              <w:ind w:right="125"/>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177"/>
        </w:trPr>
        <w:tc>
          <w:tcPr>
            <w:tcW w:w="3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5"/>
              </w:rPr>
              <w:t>Shares Purchased</w:t>
            </w:r>
          </w:p>
        </w:tc>
        <w:tc>
          <w:tcPr>
            <w:tcW w:w="30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6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3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w w:val="98"/>
              </w:rPr>
              <w:t>Average Price</w:t>
            </w:r>
          </w:p>
        </w:tc>
        <w:tc>
          <w:tcPr>
            <w:tcW w:w="14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0"/>
              </w:rPr>
              <w:t>as Part of</w:t>
            </w:r>
          </w:p>
        </w:tc>
        <w:tc>
          <w:tcPr>
            <w:tcW w:w="218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1"/>
              </w:rPr>
              <w:t>Value of Shares that May</w:t>
            </w:r>
          </w:p>
        </w:tc>
        <w:tc>
          <w:tcPr>
            <w:tcW w:w="0" w:type="dxa"/>
            <w:vAlign w:val="bottom"/>
          </w:tcPr>
          <w:p>
            <w:pPr>
              <w:spacing w:after="0"/>
              <w:rPr>
                <w:sz w:val="1"/>
                <w:szCs w:val="1"/>
                <w:color w:val="auto"/>
              </w:rPr>
            </w:pPr>
          </w:p>
        </w:tc>
      </w:tr>
      <w:tr>
        <w:trPr>
          <w:trHeight w:val="177"/>
        </w:trPr>
        <w:tc>
          <w:tcPr>
            <w:tcW w:w="39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9"/>
              </w:rPr>
              <w:t>Publicly</w:t>
            </w:r>
          </w:p>
        </w:tc>
        <w:tc>
          <w:tcPr>
            <w:tcW w:w="2180" w:type="dxa"/>
            <w:vAlign w:val="bottom"/>
            <w:gridSpan w:val="2"/>
          </w:tcPr>
          <w:p>
            <w:pPr>
              <w:jc w:val="center"/>
              <w:ind w:left="12"/>
              <w:spacing w:after="0" w:line="177" w:lineRule="exact"/>
              <w:rPr>
                <w:sz w:val="20"/>
                <w:szCs w:val="20"/>
                <w:color w:val="auto"/>
              </w:rPr>
            </w:pPr>
            <w:r>
              <w:rPr>
                <w:rFonts w:ascii="Arial" w:cs="Arial" w:eastAsia="Arial" w:hAnsi="Arial"/>
                <w:sz w:val="18"/>
                <w:szCs w:val="18"/>
                <w:b w:val="1"/>
                <w:bCs w:val="1"/>
                <w:color w:val="auto"/>
                <w:w w:val="89"/>
              </w:rPr>
              <w:t>Yet Be Purchased Under</w:t>
            </w:r>
          </w:p>
        </w:tc>
        <w:tc>
          <w:tcPr>
            <w:tcW w:w="0" w:type="dxa"/>
            <w:vAlign w:val="bottom"/>
          </w:tcPr>
          <w:p>
            <w:pPr>
              <w:spacing w:after="0"/>
              <w:rPr>
                <w:sz w:val="1"/>
                <w:szCs w:val="1"/>
                <w:color w:val="auto"/>
              </w:rPr>
            </w:pPr>
          </w:p>
        </w:tc>
      </w:tr>
      <w:tr>
        <w:trPr>
          <w:trHeight w:val="177"/>
        </w:trPr>
        <w:tc>
          <w:tcPr>
            <w:tcW w:w="3960" w:type="dxa"/>
            <w:vAlign w:val="bottom"/>
            <w:vMerge w:val="restart"/>
          </w:tcPr>
          <w:p>
            <w:pPr>
              <w:ind w:left="1740"/>
              <w:spacing w:after="0"/>
              <w:rPr>
                <w:sz w:val="20"/>
                <w:szCs w:val="20"/>
                <w:color w:val="auto"/>
              </w:rPr>
            </w:pPr>
            <w:r>
              <w:rPr>
                <w:rFonts w:ascii="Arial" w:cs="Arial" w:eastAsia="Arial" w:hAnsi="Arial"/>
                <w:sz w:val="18"/>
                <w:szCs w:val="18"/>
                <w:b w:val="1"/>
                <w:bCs w:val="1"/>
                <w:color w:val="auto"/>
              </w:rPr>
              <w:t>Period</w:t>
            </w:r>
          </w:p>
        </w:tc>
        <w:tc>
          <w:tcPr>
            <w:tcW w:w="11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5"/>
                <w:szCs w:val="15"/>
                <w:color w:val="auto"/>
              </w:rPr>
            </w:pPr>
          </w:p>
        </w:tc>
        <w:tc>
          <w:tcPr>
            <w:tcW w:w="1060" w:type="dxa"/>
            <w:vAlign w:val="bottom"/>
          </w:tcPr>
          <w:p>
            <w:pPr>
              <w:jc w:val="right"/>
              <w:ind w:right="245"/>
              <w:spacing w:after="0" w:line="177" w:lineRule="exact"/>
              <w:rPr>
                <w:sz w:val="20"/>
                <w:szCs w:val="20"/>
                <w:color w:val="auto"/>
              </w:rPr>
            </w:pPr>
            <w:r>
              <w:rPr>
                <w:rFonts w:ascii="Arial" w:cs="Arial" w:eastAsia="Arial" w:hAnsi="Arial"/>
                <w:sz w:val="18"/>
                <w:szCs w:val="18"/>
                <w:b w:val="1"/>
                <w:bCs w:val="1"/>
                <w:color w:val="auto"/>
                <w:w w:val="97"/>
              </w:rPr>
              <w:t>Paid Per</w:t>
            </w:r>
          </w:p>
        </w:tc>
        <w:tc>
          <w:tcPr>
            <w:tcW w:w="14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8"/>
              </w:rPr>
              <w:t>Announced Plans</w:t>
            </w:r>
          </w:p>
        </w:tc>
        <w:tc>
          <w:tcPr>
            <w:tcW w:w="218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w w:val="97"/>
              </w:rPr>
              <w:t xml:space="preserve">the Plans or Programs </w:t>
            </w:r>
            <w:r>
              <w:rPr>
                <w:rFonts w:ascii="Arial" w:cs="Arial" w:eastAsia="Arial" w:hAnsi="Arial"/>
                <w:sz w:val="20"/>
                <w:szCs w:val="20"/>
                <w:b w:val="1"/>
                <w:bCs w:val="1"/>
                <w:color w:val="auto"/>
                <w:w w:val="97"/>
                <w:vertAlign w:val="superscript"/>
              </w:rPr>
              <w:t>(3)</w:t>
            </w:r>
          </w:p>
        </w:tc>
        <w:tc>
          <w:tcPr>
            <w:tcW w:w="0" w:type="dxa"/>
            <w:vAlign w:val="bottom"/>
          </w:tcPr>
          <w:p>
            <w:pPr>
              <w:spacing w:after="0"/>
              <w:rPr>
                <w:sz w:val="1"/>
                <w:szCs w:val="1"/>
                <w:color w:val="auto"/>
              </w:rPr>
            </w:pPr>
          </w:p>
        </w:tc>
      </w:tr>
      <w:tr>
        <w:trPr>
          <w:trHeight w:val="235"/>
        </w:trPr>
        <w:tc>
          <w:tcPr>
            <w:tcW w:w="39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center"/>
              <w:spacing w:after="0" w:line="235"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3"/>
                <w:szCs w:val="23"/>
                <w:b w:val="1"/>
                <w:bCs w:val="1"/>
                <w:color w:val="auto"/>
                <w:w w:val="84"/>
                <w:vertAlign w:val="superscript"/>
              </w:rPr>
              <w:t>(1)</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65"/>
              <w:spacing w:after="0" w:line="235" w:lineRule="exact"/>
              <w:rPr>
                <w:sz w:val="20"/>
                <w:szCs w:val="20"/>
                <w:color w:val="auto"/>
              </w:rPr>
            </w:pPr>
            <w:r>
              <w:rPr>
                <w:rFonts w:ascii="Arial" w:cs="Arial" w:eastAsia="Arial" w:hAnsi="Arial"/>
                <w:sz w:val="18"/>
                <w:szCs w:val="18"/>
                <w:b w:val="1"/>
                <w:bCs w:val="1"/>
                <w:color w:val="auto"/>
                <w:w w:val="92"/>
              </w:rPr>
              <w:t xml:space="preserve">Share </w:t>
            </w:r>
            <w:r>
              <w:rPr>
                <w:rFonts w:ascii="Arial" w:cs="Arial" w:eastAsia="Arial" w:hAnsi="Arial"/>
                <w:sz w:val="23"/>
                <w:szCs w:val="23"/>
                <w:b w:val="1"/>
                <w:bCs w:val="1"/>
                <w:color w:val="auto"/>
                <w:w w:val="92"/>
                <w:vertAlign w:val="superscript"/>
              </w:rPr>
              <w:t>(2)</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105"/>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41"/>
        </w:trPr>
        <w:tc>
          <w:tcPr>
            <w:tcW w:w="3960" w:type="dxa"/>
            <w:vAlign w:val="bottom"/>
            <w:shd w:val="clear" w:color="auto" w:fill="E6E6E6"/>
          </w:tcPr>
          <w:p>
            <w:pPr>
              <w:ind w:left="60"/>
              <w:spacing w:after="0"/>
              <w:rPr>
                <w:sz w:val="20"/>
                <w:szCs w:val="20"/>
                <w:color w:val="auto"/>
              </w:rPr>
            </w:pPr>
            <w:r>
              <w:rPr>
                <w:rFonts w:ascii="Arial" w:cs="Arial" w:eastAsia="Arial" w:hAnsi="Arial"/>
                <w:sz w:val="20"/>
                <w:szCs w:val="20"/>
                <w:color w:val="auto"/>
              </w:rPr>
              <w:t>October 1, 2024 through October 31, 2024</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134</w:t>
            </w:r>
          </w:p>
        </w:tc>
        <w:tc>
          <w:tcPr>
            <w:tcW w:w="280" w:type="dxa"/>
            <w:vAlign w:val="bottom"/>
            <w:shd w:val="clear" w:color="auto" w:fill="E6E6E6"/>
          </w:tcPr>
          <w:p>
            <w:pPr>
              <w:ind w:left="140"/>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ind w:right="65"/>
              <w:spacing w:after="0"/>
              <w:rPr>
                <w:sz w:val="20"/>
                <w:szCs w:val="20"/>
                <w:color w:val="auto"/>
              </w:rPr>
            </w:pPr>
            <w:r>
              <w:rPr>
                <w:rFonts w:ascii="Arial" w:cs="Arial" w:eastAsia="Arial" w:hAnsi="Arial"/>
                <w:sz w:val="20"/>
                <w:szCs w:val="20"/>
                <w:color w:val="auto"/>
              </w:rPr>
              <w:t>240.95</w:t>
            </w:r>
          </w:p>
        </w:tc>
        <w:tc>
          <w:tcPr>
            <w:tcW w:w="14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524,101</w:t>
            </w:r>
          </w:p>
        </w:tc>
        <w:tc>
          <w:tcPr>
            <w:tcW w:w="0" w:type="dxa"/>
            <w:vAlign w:val="bottom"/>
          </w:tcPr>
          <w:p>
            <w:pPr>
              <w:spacing w:after="0"/>
              <w:rPr>
                <w:sz w:val="1"/>
                <w:szCs w:val="1"/>
                <w:color w:val="auto"/>
              </w:rPr>
            </w:pPr>
          </w:p>
        </w:tc>
      </w:tr>
      <w:tr>
        <w:trPr>
          <w:trHeight w:val="251"/>
        </w:trPr>
        <w:tc>
          <w:tcPr>
            <w:tcW w:w="3960" w:type="dxa"/>
            <w:vAlign w:val="bottom"/>
          </w:tcPr>
          <w:p>
            <w:pPr>
              <w:ind w:left="60"/>
              <w:spacing w:after="0"/>
              <w:rPr>
                <w:sz w:val="20"/>
                <w:szCs w:val="20"/>
                <w:color w:val="auto"/>
              </w:rPr>
            </w:pPr>
            <w:r>
              <w:rPr>
                <w:rFonts w:ascii="Arial" w:cs="Arial" w:eastAsia="Arial" w:hAnsi="Arial"/>
                <w:sz w:val="20"/>
                <w:szCs w:val="20"/>
                <w:color w:val="auto"/>
                <w:w w:val="92"/>
              </w:rPr>
              <w:t>November 1, 2024 through November 30, 2024</w:t>
            </w:r>
          </w:p>
        </w:tc>
        <w:tc>
          <w:tcPr>
            <w:tcW w:w="1180" w:type="dxa"/>
            <w:vAlign w:val="bottom"/>
          </w:tcPr>
          <w:p>
            <w:pPr>
              <w:jc w:val="right"/>
              <w:spacing w:after="0"/>
              <w:rPr>
                <w:sz w:val="20"/>
                <w:szCs w:val="20"/>
                <w:color w:val="auto"/>
              </w:rPr>
            </w:pPr>
            <w:r>
              <w:rPr>
                <w:rFonts w:ascii="Arial" w:cs="Arial" w:eastAsia="Arial" w:hAnsi="Arial"/>
                <w:sz w:val="20"/>
                <w:szCs w:val="20"/>
                <w:color w:val="auto"/>
              </w:rPr>
              <w:t>87,202</w:t>
            </w:r>
          </w:p>
        </w:tc>
        <w:tc>
          <w:tcPr>
            <w:tcW w:w="280" w:type="dxa"/>
            <w:vAlign w:val="bottom"/>
          </w:tcPr>
          <w:p>
            <w:pPr>
              <w:spacing w:after="0"/>
              <w:rPr>
                <w:sz w:val="21"/>
                <w:szCs w:val="21"/>
                <w:color w:val="auto"/>
              </w:rPr>
            </w:pPr>
          </w:p>
        </w:tc>
        <w:tc>
          <w:tcPr>
            <w:tcW w:w="1060" w:type="dxa"/>
            <w:vAlign w:val="bottom"/>
          </w:tcPr>
          <w:p>
            <w:pPr>
              <w:jc w:val="right"/>
              <w:ind w:right="65"/>
              <w:spacing w:after="0"/>
              <w:rPr>
                <w:sz w:val="20"/>
                <w:szCs w:val="20"/>
                <w:color w:val="auto"/>
              </w:rPr>
            </w:pPr>
            <w:r>
              <w:rPr>
                <w:rFonts w:ascii="Arial" w:cs="Arial" w:eastAsia="Arial" w:hAnsi="Arial"/>
                <w:sz w:val="20"/>
                <w:szCs w:val="20"/>
                <w:color w:val="auto"/>
              </w:rPr>
              <w:t>243.83</w:t>
            </w:r>
          </w:p>
        </w:tc>
        <w:tc>
          <w:tcPr>
            <w:tcW w:w="1460" w:type="dxa"/>
            <w:vAlign w:val="bottom"/>
          </w:tcPr>
          <w:p>
            <w:pPr>
              <w:jc w:val="right"/>
              <w:spacing w:after="0"/>
              <w:rPr>
                <w:sz w:val="20"/>
                <w:szCs w:val="20"/>
                <w:color w:val="auto"/>
              </w:rPr>
            </w:pPr>
            <w:r>
              <w:rPr>
                <w:rFonts w:ascii="Arial" w:cs="Arial" w:eastAsia="Arial" w:hAnsi="Arial"/>
                <w:sz w:val="20"/>
                <w:szCs w:val="20"/>
                <w:color w:val="auto"/>
              </w:rPr>
              <w:t>81,654</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504,131</w:t>
            </w:r>
          </w:p>
        </w:tc>
        <w:tc>
          <w:tcPr>
            <w:tcW w:w="0" w:type="dxa"/>
            <w:vAlign w:val="bottom"/>
          </w:tcPr>
          <w:p>
            <w:pPr>
              <w:spacing w:after="0"/>
              <w:rPr>
                <w:sz w:val="1"/>
                <w:szCs w:val="1"/>
                <w:color w:val="auto"/>
              </w:rPr>
            </w:pPr>
          </w:p>
        </w:tc>
      </w:tr>
      <w:tr>
        <w:trPr>
          <w:trHeight w:val="261"/>
        </w:trPr>
        <w:tc>
          <w:tcPr>
            <w:tcW w:w="39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w w:val="92"/>
              </w:rPr>
              <w:t>December 1, 2024 through December 31, 2024</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23,338</w:t>
            </w:r>
          </w:p>
        </w:tc>
        <w:tc>
          <w:tcPr>
            <w:tcW w:w="280" w:type="dxa"/>
            <w:vAlign w:val="bottom"/>
            <w:tcBorders>
              <w:bottom w:val="single" w:sz="8" w:color="E6E6E6"/>
            </w:tcBorders>
            <w:shd w:val="clear" w:color="auto" w:fill="E6E6E6"/>
          </w:tcPr>
          <w:p>
            <w:pPr>
              <w:spacing w:after="0"/>
              <w:rPr>
                <w:sz w:val="22"/>
                <w:szCs w:val="22"/>
                <w:color w:val="auto"/>
              </w:rPr>
            </w:pPr>
          </w:p>
        </w:tc>
        <w:tc>
          <w:tcPr>
            <w:tcW w:w="106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20"/>
                <w:szCs w:val="20"/>
                <w:color w:val="auto"/>
              </w:rPr>
              <w:t>254.46</w:t>
            </w: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19,524</w:t>
            </w:r>
          </w:p>
        </w:tc>
        <w:tc>
          <w:tcPr>
            <w:tcW w:w="300" w:type="dxa"/>
            <w:vAlign w:val="bottom"/>
            <w:tcBorders>
              <w:bottom w:val="single" w:sz="8" w:color="E6E6E6"/>
            </w:tcBorders>
            <w:shd w:val="clear" w:color="auto" w:fill="E6E6E6"/>
          </w:tcPr>
          <w:p>
            <w:pPr>
              <w:spacing w:after="0"/>
              <w:rPr>
                <w:sz w:val="22"/>
                <w:szCs w:val="22"/>
                <w:color w:val="auto"/>
              </w:rPr>
            </w:pPr>
          </w:p>
        </w:tc>
        <w:tc>
          <w:tcPr>
            <w:tcW w:w="1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499,139</w:t>
            </w:r>
          </w:p>
        </w:tc>
        <w:tc>
          <w:tcPr>
            <w:tcW w:w="0" w:type="dxa"/>
            <w:vAlign w:val="bottom"/>
          </w:tcPr>
          <w:p>
            <w:pPr>
              <w:spacing w:after="0"/>
              <w:rPr>
                <w:sz w:val="1"/>
                <w:szCs w:val="1"/>
                <w:color w:val="auto"/>
              </w:rPr>
            </w:pPr>
          </w:p>
        </w:tc>
      </w:tr>
      <w:tr>
        <w:trPr>
          <w:trHeight w:val="191"/>
        </w:trPr>
        <w:tc>
          <w:tcPr>
            <w:tcW w:w="3960" w:type="dxa"/>
            <w:vAlign w:val="bottom"/>
          </w:tcPr>
          <w:p>
            <w:pPr>
              <w:ind w:left="60"/>
              <w:spacing w:after="0" w:line="191" w:lineRule="exact"/>
              <w:rPr>
                <w:sz w:val="20"/>
                <w:szCs w:val="20"/>
                <w:color w:val="auto"/>
              </w:rPr>
            </w:pPr>
            <w:r>
              <w:rPr>
                <w:rFonts w:ascii="Arial" w:cs="Arial" w:eastAsia="Arial" w:hAnsi="Arial"/>
                <w:sz w:val="20"/>
                <w:szCs w:val="20"/>
                <w:color w:val="auto"/>
              </w:rPr>
              <w:t>Total</w:t>
            </w:r>
          </w:p>
        </w:tc>
        <w:tc>
          <w:tcPr>
            <w:tcW w:w="11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20"/>
                <w:szCs w:val="20"/>
                <w:color w:val="auto"/>
              </w:rPr>
              <w:t>110,674</w:t>
            </w:r>
          </w:p>
        </w:tc>
        <w:tc>
          <w:tcPr>
            <w:tcW w:w="280" w:type="dxa"/>
            <w:vAlign w:val="bottom"/>
          </w:tcPr>
          <w:p>
            <w:pPr>
              <w:ind w:left="140"/>
              <w:spacing w:after="0" w:line="191" w:lineRule="exact"/>
              <w:rPr>
                <w:sz w:val="20"/>
                <w:szCs w:val="20"/>
                <w:color w:val="auto"/>
              </w:rPr>
            </w:pPr>
            <w:r>
              <w:rPr>
                <w:rFonts w:ascii="Arial" w:cs="Arial" w:eastAsia="Arial" w:hAnsi="Arial"/>
                <w:sz w:val="20"/>
                <w:szCs w:val="20"/>
                <w:color w:val="auto"/>
              </w:rPr>
              <w:t>$</w:t>
            </w:r>
          </w:p>
        </w:tc>
        <w:tc>
          <w:tcPr>
            <w:tcW w:w="1060" w:type="dxa"/>
            <w:vAlign w:val="bottom"/>
          </w:tcPr>
          <w:p>
            <w:pPr>
              <w:jc w:val="right"/>
              <w:ind w:right="65"/>
              <w:spacing w:after="0" w:line="191" w:lineRule="exact"/>
              <w:rPr>
                <w:sz w:val="20"/>
                <w:szCs w:val="20"/>
                <w:color w:val="auto"/>
              </w:rPr>
            </w:pPr>
            <w:r>
              <w:rPr>
                <w:rFonts w:ascii="Arial" w:cs="Arial" w:eastAsia="Arial" w:hAnsi="Arial"/>
                <w:sz w:val="20"/>
                <w:szCs w:val="20"/>
                <w:color w:val="auto"/>
              </w:rPr>
              <w:t>246.07</w:t>
            </w:r>
          </w:p>
        </w:tc>
        <w:tc>
          <w:tcPr>
            <w:tcW w:w="14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20"/>
                <w:szCs w:val="20"/>
                <w:color w:val="auto"/>
              </w:rPr>
              <w:t>101,178</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-43180</wp:posOffset>
            </wp:positionV>
            <wp:extent cx="775970" cy="50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5970" cy="50165"/>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-43180</wp:posOffset>
            </wp:positionV>
            <wp:extent cx="954405" cy="5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4405"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_____________________</w:t>
      </w:r>
    </w:p>
    <w:p>
      <w:pPr>
        <w:spacing w:after="0" w:line="6" w:lineRule="exact"/>
        <w:rPr>
          <w:sz w:val="20"/>
          <w:szCs w:val="20"/>
          <w:color w:val="auto"/>
        </w:rPr>
      </w:pPr>
    </w:p>
    <w:p>
      <w:pPr>
        <w:ind w:left="720" w:right="320" w:hanging="358"/>
        <w:spacing w:after="0" w:line="246"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Includes 9,496 shares withheld by us from employees to satisfy employee tax obligations upon vesting of restricted shares granted under our long-term equity incentive programs.</w:t>
      </w:r>
    </w:p>
    <w:p>
      <w:pPr>
        <w:spacing w:after="0" w:line="1" w:lineRule="exact"/>
        <w:rPr>
          <w:rFonts w:ascii="Arial" w:cs="Arial" w:eastAsia="Arial" w:hAnsi="Arial"/>
          <w:sz w:val="20"/>
          <w:szCs w:val="20"/>
          <w:color w:val="auto"/>
        </w:rPr>
      </w:pPr>
    </w:p>
    <w:p>
      <w:pPr>
        <w:ind w:left="720" w:right="820" w:hanging="358"/>
        <w:spacing w:after="0" w:line="246"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average price paid per share of common stock repurchased under our stock repurchase program includes commissions paid to the brokers.</w:t>
      </w:r>
    </w:p>
    <w:p>
      <w:pPr>
        <w:spacing w:after="0" w:line="1" w:lineRule="exact"/>
        <w:rPr>
          <w:rFonts w:ascii="Arial" w:cs="Arial" w:eastAsia="Arial" w:hAnsi="Arial"/>
          <w:sz w:val="20"/>
          <w:szCs w:val="20"/>
          <w:color w:val="auto"/>
        </w:rPr>
      </w:pPr>
    </w:p>
    <w:p>
      <w:pPr>
        <w:ind w:left="720" w:right="20" w:hanging="358"/>
        <w:spacing w:after="0" w:line="28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December 5, 2023, our Board authorized a $500.0 million expansion of the Company’s then-existing share repurchase program. As of December 31, 2024, the amount available for repurchase under the expanded plan is $499.1 million. We have funded and intend to fund repurchases through available cash resources. The stock repurchase program authorizes us to purchase our common stock on the open market, pursuant to pre-set trading plans meeting the requirements of Rule 10b5-1 under the Exchange Act, in privately negotiated transactions periodically in a manner that complies with applicable U.S. securities laws or otherwise. The number of shares purchased and the timing of the purchases has depended and will depend on several factors, including share price, cash required for business plans, trading volume and other conditions. During the three months ended December 31, 2024, no shares were repurchased under the Rule 10b5-1 plan. We have no obligation to repurchase stock under this program and may suspend or terminate the repurchase program at any time.</w:t>
      </w:r>
    </w:p>
    <w:p>
      <w:pPr>
        <w:sectPr>
          <w:pgSz w:w="11880" w:h="15480" w:orient="portrait"/>
          <w:cols w:equalWidth="0" w:num="1">
            <w:col w:w="10120"/>
          </w:cols>
          <w:pgMar w:left="880" w:top="56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880" w:h="15480" w:orient="portrait"/>
          <w:cols w:equalWidth="0" w:num="1">
            <w:col w:w="10120"/>
          </w:cols>
          <w:pgMar w:left="880" w:top="568" w:right="880" w:bottom="0" w:gutter="0" w:footer="0" w:header="0"/>
          <w:type w:val="continuous"/>
        </w:sectPr>
      </w:pPr>
    </w:p>
    <w:bookmarkStart w:id="36" w:name="page37"/>
    <w:bookmarkEnd w:id="36"/>
    <w:p>
      <w:pPr>
        <w:jc w:val="center"/>
        <w:ind w:right="-59"/>
        <w:spacing w:after="0"/>
        <w:rPr>
          <w:sz w:val="20"/>
          <w:szCs w:val="20"/>
          <w:color w:val="auto"/>
        </w:rPr>
      </w:pPr>
      <w:r>
        <w:rPr>
          <w:rFonts w:ascii="Arial" w:cs="Arial" w:eastAsia="Arial" w:hAnsi="Arial"/>
          <w:sz w:val="20"/>
          <w:szCs w:val="20"/>
          <w:b w:val="1"/>
          <w:bCs w:val="1"/>
          <w:color w:val="auto"/>
        </w:rPr>
        <w:t>COMPARISON OF 5-YEAR CUMULATIVE TOTAL RETURN</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AMONG CLEAN HARBORS, INC.,</w:t>
      </w:r>
    </w:p>
    <w:p>
      <w:pPr>
        <w:spacing w:after="0" w:line="164" w:lineRule="exact"/>
        <w:rPr>
          <w:sz w:val="20"/>
          <w:szCs w:val="20"/>
          <w:color w:val="auto"/>
        </w:rPr>
      </w:pPr>
    </w:p>
    <w:p>
      <w:pPr>
        <w:ind w:right="1120" w:firstLine="1175"/>
        <w:spacing w:after="0" w:line="414" w:lineRule="auto"/>
        <w:rPr>
          <w:sz w:val="20"/>
          <w:szCs w:val="20"/>
          <w:color w:val="auto"/>
        </w:rPr>
      </w:pPr>
      <w:r>
        <w:rPr>
          <w:rFonts w:ascii="Arial" w:cs="Arial" w:eastAsia="Arial" w:hAnsi="Arial"/>
          <w:sz w:val="20"/>
          <w:szCs w:val="20"/>
          <w:b w:val="1"/>
          <w:bCs w:val="1"/>
          <w:color w:val="auto"/>
        </w:rPr>
        <w:t>NYSE COMPOSITE INDEX, S&amp;P MIDCAP 400 INDEX AND A CUSTOM PEER GROUP Performance Graph</w:t>
      </w:r>
    </w:p>
    <w:p>
      <w:pPr>
        <w:spacing w:after="0" w:line="1" w:lineRule="exact"/>
        <w:rPr>
          <w:sz w:val="20"/>
          <w:szCs w:val="20"/>
          <w:color w:val="auto"/>
        </w:rPr>
      </w:pPr>
    </w:p>
    <w:p>
      <w:pPr>
        <w:ind w:right="60" w:firstLine="709"/>
        <w:spacing w:after="0" w:line="281" w:lineRule="auto"/>
        <w:rPr>
          <w:sz w:val="20"/>
          <w:szCs w:val="20"/>
          <w:color w:val="auto"/>
        </w:rPr>
      </w:pPr>
      <w:r>
        <w:rPr>
          <w:rFonts w:ascii="Arial" w:cs="Arial" w:eastAsia="Arial" w:hAnsi="Arial"/>
          <w:sz w:val="19"/>
          <w:szCs w:val="19"/>
          <w:color w:val="auto"/>
        </w:rPr>
        <w:t>The following performance graph shall not be deemed “soliciting material” or to be “filed” with the SEC for purposes of the Exchange Act or otherwise subject to the liabilities under that section, and shall not be deemed to be incorporated by reference into any filing of the Company under the Securities Act or the Exchange Act.</w:t>
      </w:r>
    </w:p>
    <w:p>
      <w:pPr>
        <w:spacing w:after="0" w:line="99" w:lineRule="exact"/>
        <w:rPr>
          <w:sz w:val="20"/>
          <w:szCs w:val="20"/>
          <w:color w:val="auto"/>
        </w:rPr>
      </w:pPr>
    </w:p>
    <w:p>
      <w:pPr>
        <w:ind w:firstLine="709"/>
        <w:spacing w:after="0" w:line="279" w:lineRule="auto"/>
        <w:rPr>
          <w:sz w:val="20"/>
          <w:szCs w:val="20"/>
          <w:color w:val="auto"/>
        </w:rPr>
      </w:pPr>
      <w:r>
        <w:rPr>
          <w:rFonts w:ascii="Arial" w:cs="Arial" w:eastAsia="Arial" w:hAnsi="Arial"/>
          <w:sz w:val="18"/>
          <w:szCs w:val="18"/>
          <w:color w:val="auto"/>
        </w:rPr>
        <w:t>The following graph compares the five-year return from investing $100 in each of our common stock, the NYSE Composite Index, the S&amp;P Midcap 400 Index and a new custom peer group as well as the custom peer group used in our 2023 annual report. In 2024, we reassessed our peers to create a new a custom peer group that more closely aligns with the breadth and size of our current operations and reflects changes of ownership in private transactions. This new peer group is comprised of ABM Industries Incorporated, Advanced Drainage Systems, Inc., APi Group Corporation, Chemed Corporation, Darling Ingredients, Inc., Ecolab Inc., EMCOR Group, Inc., Enviri Corporation, GFL Environmental, Inc., Huntsman Corporation, Iron Mountain Incorporated, KBR, Inc, Republic Services, Inc., Rollins, Inc., Stericycle Inc., Tetra Tech, Inc., The Chemours Company, Waste Connections, Inc., and Waste Management, Inc. This is shown in the table below as “Peer Group (New)” The prior peer group, shown in the table below as “Peer Group (Prior)”, is comprised of ABM Industries Incorporated, Advanced Drainage Systems, Inc., Chemed Corporation, Darling Ingredients, Inc., Emcor Group, Inc., Enviri Corporation, GFL Environmental, Inc., Healthcare Services Group, Inc., Huntsman Corporation, Iron Mountain Incorporated, KBR, Inc, Quanta Services, Inc., Republic Services, Inc., Rollins, Inc., Stanley Black &amp; Decker, Inc., Stericycle, Inc., Tetra Tech, Inc., Waste Connections, Inc., and Waste Management, Inc.</w:t>
      </w:r>
    </w:p>
    <w:p>
      <w:pPr>
        <w:spacing w:after="0" w:line="1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values illustrated assume reinvestment of dividends on the ex-dividend date and compares relative performance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since a particular starting date. In this instance, the starting date was December 31, 2019, when our common stock closed at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$85.75 per share.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72390</wp:posOffset>
            </wp:positionV>
            <wp:extent cx="6435090" cy="36480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5090" cy="364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NOTE: Index Data: Copyright Standard and Poor’s, Inc. Used with permission. All rights reserved.</w:t>
      </w:r>
    </w:p>
    <w:p>
      <w:pPr>
        <w:spacing w:after="0" w:line="222"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RESERVED</w:t>
      </w:r>
    </w:p>
    <w:p>
      <w:pPr>
        <w:sectPr>
          <w:pgSz w:w="11880" w:h="15480" w:orient="portrait"/>
          <w:cols w:equalWidth="0" w:num="1">
            <w:col w:w="10060"/>
          </w:cols>
          <w:pgMar w:left="880" w:top="56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ectPr>
          <w:pgSz w:w="11880" w:h="15480" w:orient="portrait"/>
          <w:cols w:equalWidth="0" w:num="1">
            <w:col w:w="10060"/>
          </w:cols>
          <w:pgMar w:left="880" w:top="568" w:right="940" w:bottom="0" w:gutter="0" w:footer="0" w:header="0"/>
          <w:type w:val="continuous"/>
        </w:sectPr>
      </w:pPr>
    </w:p>
    <w:bookmarkStart w:id="37" w:name="page38"/>
    <w:bookmarkEnd w:id="37"/>
    <w:p>
      <w:pPr>
        <w:ind w:right="180"/>
        <w:spacing w:after="0" w:line="280"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98" w:lineRule="exact"/>
        <w:rPr>
          <w:sz w:val="20"/>
          <w:szCs w:val="20"/>
          <w:color w:val="auto"/>
        </w:rPr>
      </w:pPr>
    </w:p>
    <w:p>
      <w:pPr>
        <w:ind w:right="60" w:firstLine="709"/>
        <w:spacing w:after="0" w:line="325" w:lineRule="auto"/>
        <w:rPr>
          <w:sz w:val="20"/>
          <w:szCs w:val="20"/>
          <w:color w:val="auto"/>
        </w:rPr>
      </w:pPr>
      <w:r>
        <w:rPr>
          <w:rFonts w:ascii="Arial" w:cs="Arial" w:eastAsia="Arial" w:hAnsi="Arial"/>
          <w:sz w:val="16"/>
          <w:szCs w:val="16"/>
          <w:b w:val="1"/>
          <w:bCs w:val="1"/>
          <w:i w:val="1"/>
          <w:iCs w:val="1"/>
          <w:color w:val="auto"/>
        </w:rPr>
        <w:t>You should read the following discussion and analysis of our financial condition and results of operations together with our financial statements and the related notes included elsewhere in this Annual Report on Form 10-K. Some of the information contained in this discussion and analysis or set forth elsewhere in this Form 10-K, including information with respect to our plans, strategies, objectives, expectations and intentions for our business and related financing, includes forward-looking statements that involve risks and uncertainties. As a result of many factors, including those factors set forth in the “Risk Factors” section of this Form 10-K, our actual results could differ materially from the results described in or implied by these forward-looking statements. Please also see the section titled “Disclosure Regarding Forward-Looking Statements.”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w:t>
      </w:r>
    </w:p>
    <w:p>
      <w:pPr>
        <w:spacing w:after="0" w:line="172" w:lineRule="exact"/>
        <w:rPr>
          <w:sz w:val="20"/>
          <w:szCs w:val="20"/>
          <w:color w:val="auto"/>
        </w:rPr>
      </w:pPr>
    </w:p>
    <w:p>
      <w:pPr>
        <w:ind w:right="40" w:firstLine="709"/>
        <w:spacing w:after="0" w:line="280" w:lineRule="auto"/>
        <w:rPr>
          <w:sz w:val="20"/>
          <w:szCs w:val="20"/>
          <w:color w:val="auto"/>
        </w:rPr>
      </w:pPr>
      <w:r>
        <w:rPr>
          <w:rFonts w:ascii="Arial" w:cs="Arial" w:eastAsia="Arial" w:hAnsi="Arial"/>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services and products that protect and restore North America’s natural environment. We believe we operate, in the aggregate, the largest number of hazardous waste incinerators, landfills and treatment, storage and disposal facilities (“TSDFs”) in North America. We serve over 350,000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largest re-refiner and recycler of used oil in North America.</w:t>
      </w:r>
    </w:p>
    <w:p>
      <w:pPr>
        <w:spacing w:after="0" w:line="107" w:lineRule="exact"/>
        <w:rPr>
          <w:sz w:val="20"/>
          <w:szCs w:val="20"/>
          <w:color w:val="auto"/>
        </w:rPr>
      </w:pPr>
    </w:p>
    <w:p>
      <w:pPr>
        <w:ind w:right="220" w:firstLine="709"/>
        <w:spacing w:after="0" w:line="293" w:lineRule="auto"/>
        <w:rPr>
          <w:sz w:val="20"/>
          <w:szCs w:val="20"/>
          <w:color w:val="auto"/>
        </w:rPr>
      </w:pPr>
      <w:r>
        <w:rPr>
          <w:rFonts w:ascii="Arial" w:cs="Arial" w:eastAsia="Arial" w:hAnsi="Arial"/>
          <w:sz w:val="18"/>
          <w:szCs w:val="18"/>
          <w:color w:val="auto"/>
        </w:rPr>
        <w:t>Performance of our segments is evaluated on several factors of which the primary financial measure is Adjusted EBITDA, as reconciled to our net income and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89" w:lineRule="exact"/>
        <w:rPr>
          <w:sz w:val="20"/>
          <w:szCs w:val="20"/>
          <w:color w:val="auto"/>
        </w:rPr>
      </w:pPr>
    </w:p>
    <w:p>
      <w:pPr>
        <w:ind w:left="1080" w:right="20" w:hanging="36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Services - </w:t>
      </w:r>
      <w:r>
        <w:rPr>
          <w:rFonts w:ascii="Arial" w:cs="Arial" w:eastAsia="Arial" w:hAnsi="Arial"/>
          <w:sz w:val="18"/>
          <w:szCs w:val="18"/>
          <w:color w:val="auto"/>
        </w:rPr>
        <w:t>The Environmental Services segment results are driven by the customer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our wide variety of services, the volume of waste managed and project work requiring responsible waste handling and disposal.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also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The results and integration of the acquired operations of HEPACO Blocker, Inc. and its subsidiaries (collectively, “HEPACO”), which we acquired in March, 2024, also impact the overall segment results as we integrated this business into our Field Services operations.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North American GDP, U.S. industrial production, economic conditions in the general manufacturing, chemical and automotive markets including efforts and economic incentives to increase domestic operations, available capacity at waste disposal outlets, demand for industrial cleaning and related industrial services, weather conditions, efficiency of our operations, technology, changing regulations, competition, market pricing of our services, costs incurred to deliver our services and the management of our related operating costs.</w:t>
      </w:r>
    </w:p>
    <w:p>
      <w:pPr>
        <w:spacing w:after="0" w:line="102" w:lineRule="exact"/>
        <w:rPr>
          <w:rFonts w:ascii="Arial" w:cs="Arial" w:eastAsia="Arial" w:hAnsi="Arial"/>
          <w:sz w:val="18"/>
          <w:szCs w:val="18"/>
          <w:color w:val="auto"/>
        </w:rPr>
      </w:pPr>
    </w:p>
    <w:p>
      <w:pPr>
        <w:ind w:left="1080" w:hanging="364"/>
        <w:spacing w:after="0" w:line="32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Safety-Kleen Sustainability Solutions - </w:t>
      </w:r>
      <w:r>
        <w:rPr>
          <w:rFonts w:ascii="Arial" w:cs="Arial" w:eastAsia="Arial" w:hAnsi="Arial"/>
          <w:sz w:val="16"/>
          <w:szCs w:val="16"/>
          <w:color w:val="auto"/>
        </w:rPr>
        <w:t>Safety-Kleen Sustainability Solutions (“SKSS”) segment results are</w:t>
      </w:r>
      <w:r>
        <w:rPr>
          <w:rFonts w:ascii="Arial" w:cs="Arial" w:eastAsia="Arial" w:hAnsi="Arial"/>
          <w:sz w:val="16"/>
          <w:szCs w:val="16"/>
          <w:b w:val="1"/>
          <w:bCs w:val="1"/>
          <w:color w:val="auto"/>
        </w:rPr>
        <w:t xml:space="preserve"> </w:t>
      </w:r>
      <w:r>
        <w:rPr>
          <w:rFonts w:ascii="Arial" w:cs="Arial" w:eastAsia="Arial" w:hAnsi="Arial"/>
          <w:sz w:val="16"/>
          <w:szCs w:val="16"/>
          <w:color w:val="auto"/>
        </w:rPr>
        <w:t>impacted by our customers’ demand for high-quality, environmentally responsible recycled oil products and their demand for our related service and product offerings. SKSS offers high quality recycled base and blended oil products and other automotive and industrial lubricants to end users including fleet customers, distributors, manufacturers of oil products and industrial plants. Segment results are impacted by market pricing, overall demand and the mix of our oil products sales. Segment results are also predicated on the demand for other SKSS product and service offerings including collection services for used oil, used oil filters and other automotive fluids. The used oil collected is used as feedstock in our oil re-refining to produce our base and blended oil products and other hydraulic oils, lubricants and recycled fuel oil or are integrated into the Clean Harbors’ recycling and</w:t>
      </w:r>
    </w:p>
    <w:p>
      <w:pPr>
        <w:sectPr>
          <w:pgSz w:w="11880" w:h="15480" w:orient="portrait"/>
          <w:cols w:equalWidth="0" w:num="1">
            <w:col w:w="10120"/>
          </w:cols>
          <w:pgMar w:left="880" w:top="568" w:right="88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880" w:h="15480" w:orient="portrait"/>
          <w:cols w:equalWidth="0" w:num="1">
            <w:col w:w="10120"/>
          </w:cols>
          <w:pgMar w:left="880" w:top="568" w:right="880" w:bottom="0" w:gutter="0" w:footer="0" w:header="0"/>
          <w:type w:val="continuous"/>
        </w:sectPr>
      </w:pPr>
    </w:p>
    <w:bookmarkStart w:id="38" w:name="page39"/>
    <w:bookmarkEnd w:id="38"/>
    <w:p>
      <w:pPr>
        <w:ind w:left="1080"/>
        <w:spacing w:after="0" w:line="279" w:lineRule="auto"/>
        <w:rPr>
          <w:sz w:val="20"/>
          <w:szCs w:val="20"/>
          <w:color w:val="auto"/>
        </w:rPr>
      </w:pPr>
      <w:r>
        <w:rPr>
          <w:rFonts w:ascii="Arial" w:cs="Arial" w:eastAsia="Arial" w:hAnsi="Arial"/>
          <w:sz w:val="18"/>
          <w:szCs w:val="18"/>
          <w:color w:val="auto"/>
        </w:rPr>
        <w:t>disposal network. The results and integration of the acquired operations of Noble Oil Services, Inc. and its subsidiaries (collectively “Noble”) also impact the overall segment results. 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manufacturing and automotive services markets, efficiency of our operations, technology, weather conditions, changing regulations, competition and the management of our related operating costs. Overall product pricing and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9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Highlights</w:t>
      </w:r>
    </w:p>
    <w:p>
      <w:pPr>
        <w:spacing w:after="0" w:line="172" w:lineRule="exact"/>
        <w:rPr>
          <w:sz w:val="20"/>
          <w:szCs w:val="20"/>
          <w:color w:val="auto"/>
        </w:rPr>
      </w:pPr>
    </w:p>
    <w:p>
      <w:pPr>
        <w:ind w:right="20" w:firstLine="709"/>
        <w:spacing w:after="0" w:line="282" w:lineRule="auto"/>
        <w:rPr>
          <w:sz w:val="20"/>
          <w:szCs w:val="20"/>
          <w:color w:val="auto"/>
        </w:rPr>
      </w:pPr>
      <w:r>
        <w:rPr>
          <w:rFonts w:ascii="Arial" w:cs="Arial" w:eastAsia="Arial" w:hAnsi="Arial"/>
          <w:sz w:val="18"/>
          <w:szCs w:val="18"/>
          <w:color w:val="auto"/>
        </w:rPr>
        <w:t>Total direct revenues for 2024 increased 8.9% or $480.8 million to $5,890.0 million, compared with $5,409.2 million in 2023. Our Environmental Services segment direct revenues increased $493.3 million or 10.9% in 2024 compared with 2023 driven by growth in Field and Emergency Response Services, including the contributions from the acquisition of HEPACO, as well as growth in our Technical Services and Safety-Kleen branch core service offerings. Direct revenues recorded by our SKSS segment decreased $12.5 million in 2024 compared to 2023 primarily due to lower market-based pricing on our base and blended oil product sales as well as reduced volumes of these products sold. Contributions from the acquisition of Noble partially offset these decreases. Foreign currency translation of our Canadian operations negatively impacted our consolidated direct revenues by $9.0 million in 2024 as compared to 2023.</w:t>
      </w:r>
    </w:p>
    <w:p>
      <w:pPr>
        <w:spacing w:after="0" w:line="103" w:lineRule="exact"/>
        <w:rPr>
          <w:sz w:val="20"/>
          <w:szCs w:val="20"/>
          <w:color w:val="auto"/>
        </w:rPr>
      </w:pPr>
    </w:p>
    <w:p>
      <w:pPr>
        <w:ind w:right="40" w:firstLine="709"/>
        <w:spacing w:after="0" w:line="273" w:lineRule="auto"/>
        <w:rPr>
          <w:sz w:val="20"/>
          <w:szCs w:val="20"/>
          <w:color w:val="auto"/>
        </w:rPr>
      </w:pPr>
      <w:r>
        <w:rPr>
          <w:rFonts w:ascii="Arial" w:cs="Arial" w:eastAsia="Arial" w:hAnsi="Arial"/>
          <w:sz w:val="18"/>
          <w:szCs w:val="18"/>
          <w:color w:val="auto"/>
        </w:rPr>
        <w:t>Income from operations in 2024 was $670.2 million as compared with $612.4 million in 2023, an increase of 9.4%. We reported net income in 2024 and 2023 of $402.3 million and $377.9 million, respectively. Adjusted EBITDA, which is the primary financial measure by which we evaluate our operations, was $1,116.9 million in 2024 and $1,012.6 million in 2023, an increase of over 10%, driven by the results of our Environmental Services segment. Additional information regarding Adjusted EBITDA, which is a non-GAAP measure, including a reconciliation of net income to Adjusted EBITDA, appears below under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w:t>
      </w:r>
    </w:p>
    <w:p>
      <w:pPr>
        <w:spacing w:after="0" w:line="167" w:lineRule="exact"/>
        <w:rPr>
          <w:sz w:val="20"/>
          <w:szCs w:val="20"/>
          <w:color w:val="auto"/>
        </w:rPr>
      </w:pPr>
    </w:p>
    <w:p>
      <w:pPr>
        <w:ind w:right="60" w:firstLine="709"/>
        <w:spacing w:after="0" w:line="327" w:lineRule="auto"/>
        <w:rPr>
          <w:sz w:val="20"/>
          <w:szCs w:val="20"/>
          <w:color w:val="auto"/>
        </w:rPr>
      </w:pPr>
      <w:r>
        <w:rPr>
          <w:rFonts w:ascii="Arial" w:cs="Arial" w:eastAsia="Arial" w:hAnsi="Arial"/>
          <w:sz w:val="16"/>
          <w:szCs w:val="16"/>
          <w:color w:val="auto"/>
        </w:rPr>
        <w:t xml:space="preserve">Net cash from operating activities for 2024 was $777.8 million, an increase of $43.2 million from 2023. Adjusted free cash flow, which management uses to measure our financial strength and ability to generate cash, was $357.9 million in 2024, which represented a $32.7 million increase over 2023. This increase was due to incremental net cash generated by operating activities, partially offset by higher spend on property plant and equipment, net of proceeds from the sale and disposal of fixed assets. Additional information regarding adjusted free cash flow, which is a non-GAAP measure, including a reconciliation of net cash from operating activities to adjusted free cash flow, appears below under </w:t>
      </w:r>
      <w:r>
        <w:rPr>
          <w:rFonts w:ascii="Arial" w:cs="Arial" w:eastAsia="Arial" w:hAnsi="Arial"/>
          <w:sz w:val="16"/>
          <w:szCs w:val="16"/>
          <w:b w:val="1"/>
          <w:bCs w:val="1"/>
          <w:i w:val="1"/>
          <w:iCs w:val="1"/>
          <w:color w:val="auto"/>
        </w:rPr>
        <w:t>“Adjusted Free Cash Flow</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p>
    <w:p>
      <w:pPr>
        <w:sectPr>
          <w:pgSz w:w="11880" w:h="15480" w:orient="portrait"/>
          <w:cols w:equalWidth="0" w:num="1">
            <w:col w:w="10080"/>
          </w:cols>
          <w:pgMar w:left="88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880" w:h="15480" w:orient="portrait"/>
          <w:cols w:equalWidth="0" w:num="1">
            <w:col w:w="10080"/>
          </w:cols>
          <w:pgMar w:left="880" w:top="575" w:right="92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Segment Performance</w:t>
      </w:r>
    </w:p>
    <w:p>
      <w:pPr>
        <w:spacing w:after="0" w:line="171" w:lineRule="exact"/>
        <w:rPr>
          <w:sz w:val="20"/>
          <w:szCs w:val="20"/>
          <w:color w:val="auto"/>
        </w:rPr>
      </w:pPr>
    </w:p>
    <w:p>
      <w:pPr>
        <w:ind w:right="460" w:firstLine="709"/>
        <w:spacing w:after="0" w:line="261" w:lineRule="auto"/>
        <w:rPr>
          <w:sz w:val="20"/>
          <w:szCs w:val="20"/>
          <w:color w:val="auto"/>
        </w:rPr>
      </w:pPr>
      <w:r>
        <w:rPr>
          <w:rFonts w:ascii="Arial" w:cs="Arial" w:eastAsia="Arial" w:hAnsi="Arial"/>
          <w:sz w:val="20"/>
          <w:szCs w:val="20"/>
          <w:color w:val="auto"/>
        </w:rPr>
        <w:t>The primary financial measure by which we evaluate the performance of our segments is Adjusted EBITDA. The following table sets forth certain financial information associated with our results of operations for the years ended December 31, 2024, 2023 and 2022 (in thousands, except percentages):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gridSpan w:val="6"/>
          </w:tcPr>
          <w:p>
            <w:pPr>
              <w:ind w:left="400"/>
              <w:spacing w:after="0"/>
              <w:rPr>
                <w:sz w:val="20"/>
                <w:szCs w:val="20"/>
                <w:color w:val="auto"/>
              </w:rPr>
            </w:pPr>
            <w:r>
              <w:rPr>
                <w:rFonts w:ascii="Arial" w:cs="Arial" w:eastAsia="Arial" w:hAnsi="Arial"/>
                <w:sz w:val="18"/>
                <w:szCs w:val="18"/>
                <w:b w:val="1"/>
                <w:bCs w:val="1"/>
                <w:color w:val="auto"/>
              </w:rPr>
              <w:t>Summary of Operations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360" w:type="dxa"/>
            <w:vAlign w:val="bottom"/>
          </w:tcPr>
          <w:p>
            <w:pPr>
              <w:spacing w:after="0"/>
              <w:rPr>
                <w:sz w:val="22"/>
                <w:szCs w:val="22"/>
                <w:color w:val="auto"/>
              </w:rPr>
            </w:pPr>
          </w:p>
        </w:tc>
        <w:tc>
          <w:tcPr>
            <w:tcW w:w="302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8"/>
                <w:szCs w:val="18"/>
                <w:b w:val="1"/>
                <w:bCs w:val="1"/>
                <w:color w:val="auto"/>
                <w:w w:val="94"/>
              </w:rPr>
              <w:t>For the years ended December 31,</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2024 over 2023</w:t>
            </w:r>
          </w:p>
        </w:tc>
        <w:tc>
          <w:tcPr>
            <w:tcW w:w="80" w:type="dxa"/>
            <w:vAlign w:val="bottom"/>
          </w:tcPr>
          <w:p>
            <w:pPr>
              <w:spacing w:after="0"/>
              <w:rPr>
                <w:sz w:val="22"/>
                <w:szCs w:val="22"/>
                <w:color w:val="auto"/>
              </w:rPr>
            </w:pPr>
          </w:p>
        </w:tc>
        <w:tc>
          <w:tcPr>
            <w:tcW w:w="176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9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2024</w:t>
            </w:r>
          </w:p>
        </w:tc>
        <w:tc>
          <w:tcPr>
            <w:tcW w:w="1040" w:type="dxa"/>
            <w:vAlign w:val="bottom"/>
            <w:gridSpan w:val="2"/>
            <w:vMerge w:val="restart"/>
          </w:tcPr>
          <w:p>
            <w:pPr>
              <w:jc w:val="right"/>
              <w:ind w:right="211"/>
              <w:spacing w:after="0"/>
              <w:rPr>
                <w:sz w:val="20"/>
                <w:szCs w:val="20"/>
                <w:color w:val="auto"/>
              </w:rPr>
            </w:pPr>
            <w:r>
              <w:rPr>
                <w:rFonts w:ascii="Arial" w:cs="Arial" w:eastAsia="Arial" w:hAnsi="Arial"/>
                <w:sz w:val="18"/>
                <w:szCs w:val="18"/>
                <w:b w:val="1"/>
                <w:bCs w:val="1"/>
                <w:color w:val="auto"/>
              </w:rPr>
              <w:t>2023</w:t>
            </w:r>
          </w:p>
        </w:tc>
        <w:tc>
          <w:tcPr>
            <w:tcW w:w="1040" w:type="dxa"/>
            <w:vAlign w:val="bottom"/>
            <w:gridSpan w:val="2"/>
            <w:vMerge w:val="restart"/>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0"/>
              </w:rPr>
              <w:t>Change</w:t>
            </w:r>
          </w:p>
        </w:tc>
        <w:tc>
          <w:tcPr>
            <w:tcW w:w="820" w:type="dxa"/>
            <w:vAlign w:val="bottom"/>
            <w:gridSpan w:val="2"/>
          </w:tcPr>
          <w:p>
            <w:pPr>
              <w:jc w:val="center"/>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92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Change</w:t>
            </w:r>
          </w:p>
        </w:tc>
        <w:tc>
          <w:tcPr>
            <w:tcW w:w="840" w:type="dxa"/>
            <w:vAlign w:val="bottom"/>
            <w:gridSpan w:val="2"/>
          </w:tcPr>
          <w:p>
            <w:pPr>
              <w:jc w:val="center"/>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1"/>
        </w:trPr>
        <w:tc>
          <w:tcPr>
            <w:tcW w:w="336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Direct Revenues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8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76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92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76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200"/>
              <w:spacing w:after="0"/>
              <w:rPr>
                <w:sz w:val="20"/>
                <w:szCs w:val="20"/>
                <w:color w:val="auto"/>
              </w:rPr>
            </w:pPr>
            <w:r>
              <w:rPr>
                <w:rFonts w:ascii="Arial" w:cs="Arial" w:eastAsia="Arial" w:hAnsi="Arial"/>
                <w:sz w:val="20"/>
                <w:szCs w:val="20"/>
                <w:color w:val="auto"/>
              </w:rPr>
              <w:t>Environmental Services</w:t>
            </w:r>
          </w:p>
        </w:tc>
        <w:tc>
          <w:tcPr>
            <w:tcW w:w="940" w:type="dxa"/>
            <w:vAlign w:val="bottom"/>
          </w:tcPr>
          <w:p>
            <w:pPr>
              <w:jc w:val="right"/>
              <w:spacing w:after="0"/>
              <w:rPr>
                <w:sz w:val="20"/>
                <w:szCs w:val="20"/>
                <w:color w:val="auto"/>
              </w:rPr>
            </w:pPr>
            <w:r>
              <w:rPr>
                <w:rFonts w:ascii="Arial" w:cs="Arial" w:eastAsia="Arial" w:hAnsi="Arial"/>
                <w:sz w:val="18"/>
                <w:szCs w:val="18"/>
                <w:color w:val="auto"/>
                <w:w w:val="93"/>
              </w:rPr>
              <w:t>$5,004,747</w:t>
            </w:r>
          </w:p>
        </w:tc>
        <w:tc>
          <w:tcPr>
            <w:tcW w:w="1040" w:type="dxa"/>
            <w:vAlign w:val="bottom"/>
            <w:gridSpan w:val="2"/>
          </w:tcPr>
          <w:p>
            <w:pPr>
              <w:jc w:val="right"/>
              <w:ind w:right="11"/>
              <w:spacing w:after="0"/>
              <w:rPr>
                <w:sz w:val="20"/>
                <w:szCs w:val="20"/>
                <w:color w:val="auto"/>
              </w:rPr>
            </w:pPr>
            <w:r>
              <w:rPr>
                <w:rFonts w:ascii="Arial" w:cs="Arial" w:eastAsia="Arial" w:hAnsi="Arial"/>
                <w:sz w:val="18"/>
                <w:szCs w:val="18"/>
                <w:color w:val="auto"/>
              </w:rPr>
              <w:t>$4,511,442</w:t>
            </w:r>
          </w:p>
        </w:tc>
        <w:tc>
          <w:tcPr>
            <w:tcW w:w="1040" w:type="dxa"/>
            <w:vAlign w:val="bottom"/>
            <w:gridSpan w:val="2"/>
          </w:tcPr>
          <w:p>
            <w:pPr>
              <w:jc w:val="right"/>
              <w:ind w:right="31"/>
              <w:spacing w:after="0"/>
              <w:rPr>
                <w:sz w:val="20"/>
                <w:szCs w:val="20"/>
                <w:color w:val="auto"/>
              </w:rPr>
            </w:pPr>
            <w:r>
              <w:rPr>
                <w:rFonts w:ascii="Arial" w:cs="Arial" w:eastAsia="Arial" w:hAnsi="Arial"/>
                <w:sz w:val="18"/>
                <w:szCs w:val="18"/>
                <w:color w:val="auto"/>
                <w:w w:val="99"/>
              </w:rPr>
              <w:t>$4,171,706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493,305</w:t>
            </w:r>
          </w:p>
        </w:tc>
        <w:tc>
          <w:tcPr>
            <w:tcW w:w="8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10.9%</w:t>
            </w:r>
          </w:p>
        </w:tc>
        <w:tc>
          <w:tcPr>
            <w:tcW w:w="1000" w:type="dxa"/>
            <w:vAlign w:val="bottom"/>
            <w:gridSpan w:val="2"/>
          </w:tcPr>
          <w:p>
            <w:pPr>
              <w:jc w:val="right"/>
              <w:ind w:right="31"/>
              <w:spacing w:after="0"/>
              <w:rPr>
                <w:sz w:val="20"/>
                <w:szCs w:val="20"/>
                <w:color w:val="auto"/>
              </w:rPr>
            </w:pPr>
            <w:r>
              <w:rPr>
                <w:rFonts w:ascii="Arial" w:cs="Arial" w:eastAsia="Arial" w:hAnsi="Arial"/>
                <w:sz w:val="18"/>
                <w:szCs w:val="18"/>
                <w:color w:val="auto"/>
              </w:rPr>
              <w:t>$ 339,736</w:t>
            </w:r>
          </w:p>
        </w:tc>
        <w:tc>
          <w:tcPr>
            <w:tcW w:w="840" w:type="dxa"/>
            <w:vAlign w:val="bottom"/>
            <w:gridSpan w:val="2"/>
          </w:tcPr>
          <w:p>
            <w:pPr>
              <w:jc w:val="center"/>
              <w:ind w:left="31"/>
              <w:spacing w:after="0"/>
              <w:rPr>
                <w:sz w:val="20"/>
                <w:szCs w:val="20"/>
                <w:color w:val="auto"/>
              </w:rPr>
            </w:pPr>
            <w:r>
              <w:rPr>
                <w:rFonts w:ascii="Arial" w:cs="Arial" w:eastAsia="Arial" w:hAnsi="Arial"/>
                <w:sz w:val="18"/>
                <w:szCs w:val="18"/>
                <w:color w:val="auto"/>
                <w:w w:val="87"/>
              </w:rPr>
              <w:t>8.1%</w:t>
            </w:r>
          </w:p>
        </w:tc>
        <w:tc>
          <w:tcPr>
            <w:tcW w:w="0" w:type="dxa"/>
            <w:vAlign w:val="bottom"/>
          </w:tcPr>
          <w:p>
            <w:pPr>
              <w:spacing w:after="0"/>
              <w:rPr>
                <w:sz w:val="1"/>
                <w:szCs w:val="1"/>
                <w:color w:val="auto"/>
              </w:rPr>
            </w:pPr>
          </w:p>
        </w:tc>
      </w:tr>
      <w:tr>
        <w:trPr>
          <w:trHeight w:val="287"/>
        </w:trPr>
        <w:tc>
          <w:tcPr>
            <w:tcW w:w="3360" w:type="dxa"/>
            <w:vAlign w:val="bottom"/>
            <w:shd w:val="clear" w:color="auto" w:fill="E6E6E6"/>
          </w:tcPr>
          <w:p>
            <w:pPr>
              <w:ind w:left="200"/>
              <w:spacing w:after="0"/>
              <w:rPr>
                <w:sz w:val="20"/>
                <w:szCs w:val="20"/>
                <w:color w:val="auto"/>
              </w:rPr>
            </w:pPr>
            <w:r>
              <w:rPr>
                <w:rFonts w:ascii="Arial" w:cs="Arial" w:eastAsia="Arial" w:hAnsi="Arial"/>
                <w:sz w:val="20"/>
                <w:szCs w:val="20"/>
                <w:color w:val="auto"/>
                <w:w w:val="96"/>
              </w:rPr>
              <w:t>Safety-Kleen Sustainability Solutions</w:t>
            </w:r>
          </w:p>
        </w:tc>
        <w:tc>
          <w:tcPr>
            <w:tcW w:w="94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rPr>
              <w:t>884,798</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color w:val="auto"/>
              </w:rPr>
              <w:t>897,263</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color w:val="auto"/>
              </w:rPr>
              <w:t>994,392</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w w:val="98"/>
              </w:rPr>
              <w:t>(12,465)</w:t>
            </w:r>
          </w:p>
        </w:tc>
        <w:tc>
          <w:tcPr>
            <w:tcW w:w="820" w:type="dxa"/>
            <w:vAlign w:val="bottom"/>
            <w:gridSpan w:val="2"/>
            <w:shd w:val="clear" w:color="auto" w:fill="E6E6E6"/>
          </w:tcPr>
          <w:p>
            <w:pPr>
              <w:jc w:val="center"/>
              <w:ind w:left="31"/>
              <w:spacing w:after="0"/>
              <w:rPr>
                <w:sz w:val="20"/>
                <w:szCs w:val="20"/>
                <w:color w:val="auto"/>
              </w:rPr>
            </w:pPr>
            <w:r>
              <w:rPr>
                <w:rFonts w:ascii="Arial" w:cs="Arial" w:eastAsia="Arial" w:hAnsi="Arial"/>
                <w:sz w:val="18"/>
                <w:szCs w:val="18"/>
                <w:color w:val="auto"/>
                <w:w w:val="91"/>
              </w:rPr>
              <w:t>(1.4)</w:t>
            </w:r>
          </w:p>
        </w:tc>
        <w:tc>
          <w:tcPr>
            <w:tcW w:w="1000" w:type="dxa"/>
            <w:vAlign w:val="bottom"/>
            <w:gridSpan w:val="2"/>
            <w:shd w:val="clear" w:color="auto" w:fill="E6E6E6"/>
          </w:tcPr>
          <w:p>
            <w:pPr>
              <w:jc w:val="right"/>
              <w:ind w:right="31"/>
              <w:spacing w:after="0"/>
              <w:rPr>
                <w:sz w:val="20"/>
                <w:szCs w:val="20"/>
                <w:color w:val="auto"/>
              </w:rPr>
            </w:pPr>
            <w:r>
              <w:rPr>
                <w:rFonts w:ascii="Arial" w:cs="Arial" w:eastAsia="Arial" w:hAnsi="Arial"/>
                <w:sz w:val="18"/>
                <w:szCs w:val="18"/>
                <w:color w:val="auto"/>
              </w:rPr>
              <w:t>(97,129)</w:t>
            </w:r>
          </w:p>
        </w:tc>
        <w:tc>
          <w:tcPr>
            <w:tcW w:w="840" w:type="dxa"/>
            <w:vAlign w:val="bottom"/>
            <w:gridSpan w:val="2"/>
            <w:shd w:val="clear" w:color="auto" w:fill="E6E6E6"/>
          </w:tcPr>
          <w:p>
            <w:pPr>
              <w:jc w:val="center"/>
              <w:ind w:left="11"/>
              <w:spacing w:after="0"/>
              <w:rPr>
                <w:sz w:val="20"/>
                <w:szCs w:val="20"/>
                <w:color w:val="auto"/>
              </w:rPr>
            </w:pPr>
            <w:r>
              <w:rPr>
                <w:rFonts w:ascii="Arial" w:cs="Arial" w:eastAsia="Arial" w:hAnsi="Arial"/>
                <w:sz w:val="18"/>
                <w:szCs w:val="18"/>
                <w:color w:val="auto"/>
                <w:w w:val="91"/>
              </w:rPr>
              <w:t>(9.8)</w:t>
            </w:r>
          </w:p>
        </w:tc>
        <w:tc>
          <w:tcPr>
            <w:tcW w:w="0" w:type="dxa"/>
            <w:vAlign w:val="bottom"/>
          </w:tcPr>
          <w:p>
            <w:pPr>
              <w:spacing w:after="0"/>
              <w:rPr>
                <w:sz w:val="1"/>
                <w:szCs w:val="1"/>
                <w:color w:val="auto"/>
              </w:rPr>
            </w:pPr>
          </w:p>
        </w:tc>
      </w:tr>
      <w:tr>
        <w:trPr>
          <w:trHeight w:val="271"/>
        </w:trPr>
        <w:tc>
          <w:tcPr>
            <w:tcW w:w="3360" w:type="dxa"/>
            <w:vAlign w:val="bottom"/>
            <w:tcBorders>
              <w:bottom w:val="single" w:sz="8" w:color="E6E6E6"/>
            </w:tcBorders>
          </w:tcPr>
          <w:p>
            <w:pPr>
              <w:ind w:left="200"/>
              <w:spacing w:after="0"/>
              <w:rPr>
                <w:sz w:val="20"/>
                <w:szCs w:val="20"/>
                <w:color w:val="auto"/>
              </w:rPr>
            </w:pPr>
            <w:r>
              <w:rPr>
                <w:rFonts w:ascii="Arial" w:cs="Arial" w:eastAsia="Arial" w:hAnsi="Arial"/>
                <w:sz w:val="20"/>
                <w:szCs w:val="20"/>
                <w:color w:val="auto"/>
              </w:rPr>
              <w:t>Corporate</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407</w:t>
            </w:r>
          </w:p>
        </w:tc>
        <w:tc>
          <w:tcPr>
            <w:tcW w:w="80" w:type="dxa"/>
            <w:vAlign w:val="bottom"/>
            <w:tcBorders>
              <w:bottom w:val="single" w:sz="8" w:color="E6E6E6"/>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447</w:t>
            </w:r>
          </w:p>
        </w:tc>
        <w:tc>
          <w:tcPr>
            <w:tcW w:w="80" w:type="dxa"/>
            <w:vAlign w:val="bottom"/>
            <w:tcBorders>
              <w:bottom w:val="single" w:sz="8" w:color="E6E6E6"/>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507</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E6E6E6"/>
            </w:tcBorders>
          </w:tcPr>
          <w:p>
            <w:pPr>
              <w:spacing w:after="0"/>
              <w:rPr>
                <w:sz w:val="23"/>
                <w:szCs w:val="23"/>
                <w:color w:val="auto"/>
              </w:rPr>
            </w:pPr>
          </w:p>
        </w:tc>
        <w:tc>
          <w:tcPr>
            <w:tcW w:w="760" w:type="dxa"/>
            <w:vAlign w:val="bottom"/>
            <w:tcBorders>
              <w:bottom w:val="single" w:sz="8" w:color="E6E6E6"/>
            </w:tcBorders>
          </w:tcPr>
          <w:p>
            <w:pPr>
              <w:jc w:val="center"/>
              <w:spacing w:after="0"/>
              <w:rPr>
                <w:sz w:val="20"/>
                <w:szCs w:val="20"/>
                <w:color w:val="auto"/>
              </w:rPr>
            </w:pPr>
            <w:r>
              <w:rPr>
                <w:rFonts w:ascii="Arial" w:cs="Arial" w:eastAsia="Arial" w:hAnsi="Arial"/>
                <w:sz w:val="18"/>
                <w:szCs w:val="18"/>
                <w:color w:val="auto"/>
              </w:rPr>
              <w:t>N/M</w:t>
            </w:r>
          </w:p>
        </w:tc>
        <w:tc>
          <w:tcPr>
            <w:tcW w:w="80" w:type="dxa"/>
            <w:vAlign w:val="bottom"/>
            <w:tcBorders>
              <w:bottom w:val="single" w:sz="8" w:color="E6E6E6"/>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E6E6E6"/>
            </w:tcBorders>
          </w:tcPr>
          <w:p>
            <w:pPr>
              <w:spacing w:after="0"/>
              <w:rPr>
                <w:sz w:val="23"/>
                <w:szCs w:val="23"/>
                <w:color w:val="auto"/>
              </w:rPr>
            </w:pPr>
          </w:p>
        </w:tc>
        <w:tc>
          <w:tcPr>
            <w:tcW w:w="760" w:type="dxa"/>
            <w:vAlign w:val="bottom"/>
            <w:tcBorders>
              <w:bottom w:val="single" w:sz="8" w:color="E6E6E6"/>
            </w:tcBorders>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9"/>
        </w:trPr>
        <w:tc>
          <w:tcPr>
            <w:tcW w:w="3360" w:type="dxa"/>
            <w:vAlign w:val="bottom"/>
            <w:shd w:val="clear" w:color="auto" w:fill="E6E6E6"/>
          </w:tcPr>
          <w:p>
            <w:pPr>
              <w:ind w:left="280"/>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E6E6E6"/>
          </w:tcPr>
          <w:p>
            <w:pPr>
              <w:jc w:val="right"/>
              <w:ind w:right="31"/>
              <w:spacing w:after="0"/>
              <w:rPr>
                <w:sz w:val="20"/>
                <w:szCs w:val="20"/>
                <w:color w:val="auto"/>
              </w:rPr>
            </w:pPr>
            <w:r>
              <w:rPr>
                <w:rFonts w:ascii="Arial" w:cs="Arial" w:eastAsia="Arial" w:hAnsi="Arial"/>
                <w:sz w:val="18"/>
                <w:szCs w:val="18"/>
                <w:b w:val="1"/>
                <w:bCs w:val="1"/>
                <w:color w:val="auto"/>
                <w:w w:val="99"/>
              </w:rPr>
              <w:t>5,889,952</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b w:val="1"/>
                <w:bCs w:val="1"/>
                <w:color w:val="auto"/>
              </w:rPr>
              <w:t>5,409,152</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b w:val="1"/>
                <w:bCs w:val="1"/>
                <w:color w:val="auto"/>
              </w:rPr>
              <w:t>5,166,605</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51"/>
              <w:spacing w:after="0"/>
              <w:rPr>
                <w:sz w:val="20"/>
                <w:szCs w:val="20"/>
                <w:color w:val="auto"/>
              </w:rPr>
            </w:pPr>
            <w:r>
              <w:rPr>
                <w:rFonts w:ascii="Arial" w:cs="Arial" w:eastAsia="Arial" w:hAnsi="Arial"/>
                <w:sz w:val="18"/>
                <w:szCs w:val="18"/>
                <w:b w:val="1"/>
                <w:bCs w:val="1"/>
                <w:color w:val="auto"/>
              </w:rPr>
              <w:t>480,800</w:t>
            </w:r>
          </w:p>
        </w:tc>
        <w:tc>
          <w:tcPr>
            <w:tcW w:w="820" w:type="dxa"/>
            <w:vAlign w:val="bottom"/>
            <w:gridSpan w:val="2"/>
            <w:shd w:val="clear" w:color="auto" w:fill="E6E6E6"/>
          </w:tcPr>
          <w:p>
            <w:pPr>
              <w:jc w:val="center"/>
              <w:ind w:left="31"/>
              <w:spacing w:after="0"/>
              <w:rPr>
                <w:sz w:val="20"/>
                <w:szCs w:val="20"/>
                <w:color w:val="auto"/>
              </w:rPr>
            </w:pPr>
            <w:r>
              <w:rPr>
                <w:rFonts w:ascii="Arial" w:cs="Arial" w:eastAsia="Arial" w:hAnsi="Arial"/>
                <w:sz w:val="18"/>
                <w:szCs w:val="18"/>
                <w:color w:val="auto"/>
                <w:w w:val="87"/>
              </w:rPr>
              <w:t>8.9</w:t>
            </w:r>
          </w:p>
        </w:tc>
        <w:tc>
          <w:tcPr>
            <w:tcW w:w="1000" w:type="dxa"/>
            <w:vAlign w:val="bottom"/>
            <w:gridSpan w:val="2"/>
            <w:shd w:val="clear" w:color="auto" w:fill="E6E6E6"/>
          </w:tcPr>
          <w:p>
            <w:pPr>
              <w:jc w:val="right"/>
              <w:ind w:right="31"/>
              <w:spacing w:after="0"/>
              <w:rPr>
                <w:sz w:val="20"/>
                <w:szCs w:val="20"/>
                <w:color w:val="auto"/>
              </w:rPr>
            </w:pPr>
            <w:r>
              <w:rPr>
                <w:rFonts w:ascii="Arial" w:cs="Arial" w:eastAsia="Arial" w:hAnsi="Arial"/>
                <w:sz w:val="18"/>
                <w:szCs w:val="18"/>
                <w:b w:val="1"/>
                <w:bCs w:val="1"/>
                <w:color w:val="auto"/>
              </w:rPr>
              <w:t>242,547</w:t>
            </w:r>
          </w:p>
        </w:tc>
        <w:tc>
          <w:tcPr>
            <w:tcW w:w="840" w:type="dxa"/>
            <w:vAlign w:val="bottom"/>
            <w:gridSpan w:val="2"/>
            <w:shd w:val="clear" w:color="auto" w:fill="E6E6E6"/>
          </w:tcPr>
          <w:p>
            <w:pPr>
              <w:jc w:val="center"/>
              <w:ind w:left="11"/>
              <w:spacing w:after="0"/>
              <w:rPr>
                <w:sz w:val="20"/>
                <w:szCs w:val="20"/>
                <w:color w:val="auto"/>
              </w:rPr>
            </w:pPr>
            <w:r>
              <w:rPr>
                <w:rFonts w:ascii="Arial" w:cs="Arial" w:eastAsia="Arial" w:hAnsi="Arial"/>
                <w:sz w:val="18"/>
                <w:szCs w:val="18"/>
                <w:color w:val="auto"/>
                <w:w w:val="87"/>
              </w:rPr>
              <w:t>4.7</w:t>
            </w:r>
          </w:p>
        </w:tc>
        <w:tc>
          <w:tcPr>
            <w:tcW w:w="0" w:type="dxa"/>
            <w:vAlign w:val="bottom"/>
          </w:tcPr>
          <w:p>
            <w:pPr>
              <w:spacing w:after="0"/>
              <w:rPr>
                <w:sz w:val="1"/>
                <w:szCs w:val="1"/>
                <w:color w:val="auto"/>
              </w:rPr>
            </w:pPr>
          </w:p>
        </w:tc>
      </w:tr>
      <w:tr>
        <w:trPr>
          <w:trHeight w:val="253"/>
        </w:trPr>
        <w:tc>
          <w:tcPr>
            <w:tcW w:w="3360" w:type="dxa"/>
            <w:vAlign w:val="bottom"/>
            <w:tcBorders>
              <w:top w:val="single" w:sz="8" w:color="E6E6E6"/>
            </w:tcBorders>
          </w:tcPr>
          <w:p>
            <w:pPr>
              <w:ind w:left="60"/>
              <w:spacing w:after="0" w:line="253" w:lineRule="exact"/>
              <w:rPr>
                <w:sz w:val="20"/>
                <w:szCs w:val="20"/>
                <w:color w:val="auto"/>
              </w:rPr>
            </w:pPr>
            <w:r>
              <w:rPr>
                <w:rFonts w:ascii="Arial" w:cs="Arial" w:eastAsia="Arial" w:hAnsi="Arial"/>
                <w:sz w:val="18"/>
                <w:szCs w:val="18"/>
                <w:b w:val="1"/>
                <w:bCs w:val="1"/>
                <w:color w:val="auto"/>
              </w:rPr>
              <w:t>Cost of Revenues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94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760" w:type="dxa"/>
            <w:vAlign w:val="bottom"/>
            <w:tcBorders>
              <w:top w:val="single" w:sz="8" w:color="E6E6E6"/>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760" w:type="dxa"/>
            <w:vAlign w:val="bottom"/>
            <w:tcBorders>
              <w:top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3360" w:type="dxa"/>
            <w:vAlign w:val="bottom"/>
            <w:shd w:val="clear" w:color="auto" w:fill="E6E6E6"/>
          </w:tcPr>
          <w:p>
            <w:pPr>
              <w:ind w:left="200"/>
              <w:spacing w:after="0"/>
              <w:rPr>
                <w:sz w:val="20"/>
                <w:szCs w:val="20"/>
                <w:color w:val="auto"/>
              </w:rPr>
            </w:pPr>
            <w:r>
              <w:rPr>
                <w:rFonts w:ascii="Arial" w:cs="Arial" w:eastAsia="Arial" w:hAnsi="Arial"/>
                <w:sz w:val="20"/>
                <w:szCs w:val="20"/>
                <w:color w:val="auto"/>
              </w:rPr>
              <w:t>Environmental Services</w:t>
            </w:r>
          </w:p>
        </w:tc>
        <w:tc>
          <w:tcPr>
            <w:tcW w:w="94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w w:val="99"/>
              </w:rPr>
              <w:t>3,366,022</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color w:val="auto"/>
              </w:rPr>
              <w:t>3,063,043</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color w:val="auto"/>
              </w:rPr>
              <w:t>2,902,979</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302,979</w:t>
            </w:r>
          </w:p>
        </w:tc>
        <w:tc>
          <w:tcPr>
            <w:tcW w:w="820" w:type="dxa"/>
            <w:vAlign w:val="bottom"/>
            <w:gridSpan w:val="2"/>
            <w:shd w:val="clear" w:color="auto" w:fill="E6E6E6"/>
          </w:tcPr>
          <w:p>
            <w:pPr>
              <w:jc w:val="center"/>
              <w:ind w:left="31"/>
              <w:spacing w:after="0"/>
              <w:rPr>
                <w:sz w:val="20"/>
                <w:szCs w:val="20"/>
                <w:color w:val="auto"/>
              </w:rPr>
            </w:pPr>
            <w:r>
              <w:rPr>
                <w:rFonts w:ascii="Arial" w:cs="Arial" w:eastAsia="Arial" w:hAnsi="Arial"/>
                <w:sz w:val="18"/>
                <w:szCs w:val="18"/>
                <w:color w:val="auto"/>
                <w:w w:val="87"/>
              </w:rPr>
              <w:t>9.9</w:t>
            </w:r>
          </w:p>
        </w:tc>
        <w:tc>
          <w:tcPr>
            <w:tcW w:w="1000" w:type="dxa"/>
            <w:vAlign w:val="bottom"/>
            <w:gridSpan w:val="2"/>
            <w:shd w:val="clear" w:color="auto" w:fill="E6E6E6"/>
          </w:tcPr>
          <w:p>
            <w:pPr>
              <w:jc w:val="right"/>
              <w:ind w:right="31"/>
              <w:spacing w:after="0"/>
              <w:rPr>
                <w:sz w:val="20"/>
                <w:szCs w:val="20"/>
                <w:color w:val="auto"/>
              </w:rPr>
            </w:pPr>
            <w:r>
              <w:rPr>
                <w:rFonts w:ascii="Arial" w:cs="Arial" w:eastAsia="Arial" w:hAnsi="Arial"/>
                <w:sz w:val="18"/>
                <w:szCs w:val="18"/>
                <w:color w:val="auto"/>
              </w:rPr>
              <w:t>160,064</w:t>
            </w:r>
          </w:p>
        </w:tc>
        <w:tc>
          <w:tcPr>
            <w:tcW w:w="840" w:type="dxa"/>
            <w:vAlign w:val="bottom"/>
            <w:gridSpan w:val="2"/>
            <w:shd w:val="clear" w:color="auto" w:fill="E6E6E6"/>
          </w:tcPr>
          <w:p>
            <w:pPr>
              <w:jc w:val="center"/>
              <w:ind w:left="11"/>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75"/>
        </w:trPr>
        <w:tc>
          <w:tcPr>
            <w:tcW w:w="3360" w:type="dxa"/>
            <w:vAlign w:val="bottom"/>
          </w:tcPr>
          <w:p>
            <w:pPr>
              <w:ind w:left="200"/>
              <w:spacing w:after="0"/>
              <w:rPr>
                <w:sz w:val="20"/>
                <w:szCs w:val="20"/>
                <w:color w:val="auto"/>
              </w:rPr>
            </w:pPr>
            <w:r>
              <w:rPr>
                <w:rFonts w:ascii="Arial" w:cs="Arial" w:eastAsia="Arial" w:hAnsi="Arial"/>
                <w:sz w:val="20"/>
                <w:szCs w:val="20"/>
                <w:color w:val="auto"/>
                <w:w w:val="96"/>
              </w:rPr>
              <w:t>Safety-Kleen Sustainability Solutions</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659,217</w:t>
            </w: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rPr>
              <w:t>646,301</w:t>
            </w: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rPr>
              <w:t>615,303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12,916</w:t>
            </w:r>
          </w:p>
        </w:tc>
        <w:tc>
          <w:tcPr>
            <w:tcW w:w="820" w:type="dxa"/>
            <w:vAlign w:val="bottom"/>
            <w:gridSpan w:val="2"/>
          </w:tcPr>
          <w:p>
            <w:pPr>
              <w:jc w:val="center"/>
              <w:ind w:left="31"/>
              <w:spacing w:after="0"/>
              <w:rPr>
                <w:sz w:val="20"/>
                <w:szCs w:val="20"/>
                <w:color w:val="auto"/>
              </w:rPr>
            </w:pPr>
            <w:r>
              <w:rPr>
                <w:rFonts w:ascii="Arial" w:cs="Arial" w:eastAsia="Arial" w:hAnsi="Arial"/>
                <w:sz w:val="18"/>
                <w:szCs w:val="18"/>
                <w:color w:val="auto"/>
                <w:w w:val="87"/>
              </w:rPr>
              <w:t>2.0</w:t>
            </w:r>
          </w:p>
        </w:tc>
        <w:tc>
          <w:tcPr>
            <w:tcW w:w="1000" w:type="dxa"/>
            <w:vAlign w:val="bottom"/>
            <w:gridSpan w:val="2"/>
          </w:tcPr>
          <w:p>
            <w:pPr>
              <w:jc w:val="right"/>
              <w:ind w:right="31"/>
              <w:spacing w:after="0"/>
              <w:rPr>
                <w:sz w:val="20"/>
                <w:szCs w:val="20"/>
                <w:color w:val="auto"/>
              </w:rPr>
            </w:pPr>
            <w:r>
              <w:rPr>
                <w:rFonts w:ascii="Arial" w:cs="Arial" w:eastAsia="Arial" w:hAnsi="Arial"/>
                <w:sz w:val="18"/>
                <w:szCs w:val="18"/>
                <w:color w:val="auto"/>
              </w:rPr>
              <w:t>30,998</w:t>
            </w:r>
          </w:p>
        </w:tc>
        <w:tc>
          <w:tcPr>
            <w:tcW w:w="840" w:type="dxa"/>
            <w:vAlign w:val="bottom"/>
            <w:gridSpan w:val="2"/>
          </w:tcPr>
          <w:p>
            <w:pPr>
              <w:jc w:val="center"/>
              <w:ind w:left="11"/>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77"/>
        </w:trPr>
        <w:tc>
          <w:tcPr>
            <w:tcW w:w="336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20"/>
                <w:szCs w:val="20"/>
                <w:color w:val="auto"/>
              </w:rPr>
              <w:t>Corporate</w:t>
            </w:r>
          </w:p>
        </w:tc>
        <w:tc>
          <w:tcPr>
            <w:tcW w:w="940" w:type="dxa"/>
            <w:vAlign w:val="bottom"/>
            <w:tcBorders>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36,131</w:t>
            </w:r>
          </w:p>
        </w:tc>
        <w:tc>
          <w:tcPr>
            <w:tcW w:w="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36,780</w:t>
            </w:r>
          </w:p>
        </w:tc>
        <w:tc>
          <w:tcPr>
            <w:tcW w:w="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25,648</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(649)</w:t>
            </w:r>
          </w:p>
        </w:tc>
        <w:tc>
          <w:tcPr>
            <w:tcW w:w="6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N/M</w:t>
            </w:r>
          </w:p>
        </w:tc>
        <w:tc>
          <w:tcPr>
            <w:tcW w:w="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11,132</w:t>
            </w:r>
          </w:p>
        </w:tc>
        <w:tc>
          <w:tcPr>
            <w:tcW w:w="8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1"/>
        </w:trPr>
        <w:tc>
          <w:tcPr>
            <w:tcW w:w="3360" w:type="dxa"/>
            <w:vAlign w:val="bottom"/>
            <w:tcBorders>
              <w:bottom w:val="single" w:sz="8" w:color="E6E6E6"/>
            </w:tcBorders>
          </w:tcPr>
          <w:p>
            <w:pPr>
              <w:ind w:left="28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4,061,370</w:t>
            </w:r>
          </w:p>
        </w:tc>
        <w:tc>
          <w:tcPr>
            <w:tcW w:w="8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3,746,124</w:t>
            </w:r>
          </w:p>
        </w:tc>
        <w:tc>
          <w:tcPr>
            <w:tcW w:w="8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3,543,930</w:t>
            </w:r>
          </w:p>
        </w:tc>
        <w:tc>
          <w:tcPr>
            <w:tcW w:w="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315,246</w:t>
            </w:r>
          </w:p>
        </w:tc>
        <w:tc>
          <w:tcPr>
            <w:tcW w:w="820" w:type="dxa"/>
            <w:vAlign w:val="bottom"/>
            <w:tcBorders>
              <w:bottom w:val="single" w:sz="8" w:color="E6E6E6"/>
            </w:tcBorders>
            <w:gridSpan w:val="2"/>
          </w:tcPr>
          <w:p>
            <w:pPr>
              <w:jc w:val="center"/>
              <w:ind w:left="31"/>
              <w:spacing w:after="0"/>
              <w:rPr>
                <w:sz w:val="20"/>
                <w:szCs w:val="20"/>
                <w:color w:val="auto"/>
              </w:rPr>
            </w:pPr>
            <w:r>
              <w:rPr>
                <w:rFonts w:ascii="Arial" w:cs="Arial" w:eastAsia="Arial" w:hAnsi="Arial"/>
                <w:sz w:val="18"/>
                <w:szCs w:val="18"/>
                <w:color w:val="auto"/>
                <w:w w:val="87"/>
              </w:rPr>
              <w:t>8.4</w:t>
            </w:r>
          </w:p>
        </w:tc>
        <w:tc>
          <w:tcPr>
            <w:tcW w:w="80" w:type="dxa"/>
            <w:vAlign w:val="bottom"/>
            <w:tcBorders>
              <w:bottom w:val="single" w:sz="8" w:color="E6E6E6"/>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202,194</w:t>
            </w:r>
          </w:p>
        </w:tc>
        <w:tc>
          <w:tcPr>
            <w:tcW w:w="840" w:type="dxa"/>
            <w:vAlign w:val="bottom"/>
            <w:tcBorders>
              <w:bottom w:val="single" w:sz="8" w:color="E6E6E6"/>
            </w:tcBorders>
            <w:gridSpan w:val="2"/>
          </w:tcPr>
          <w:p>
            <w:pPr>
              <w:jc w:val="center"/>
              <w:ind w:left="11"/>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271"/>
        </w:trPr>
        <w:tc>
          <w:tcPr>
            <w:tcW w:w="4300" w:type="dxa"/>
            <w:vAlign w:val="bottom"/>
            <w:gridSpan w:val="2"/>
            <w:shd w:val="clear" w:color="auto" w:fill="E6E6E6"/>
          </w:tcPr>
          <w:p>
            <w:pPr>
              <w:ind w:left="60"/>
              <w:spacing w:after="0"/>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8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7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9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76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200"/>
              <w:spacing w:after="0"/>
              <w:rPr>
                <w:sz w:val="20"/>
                <w:szCs w:val="20"/>
                <w:color w:val="auto"/>
              </w:rPr>
            </w:pPr>
            <w:r>
              <w:rPr>
                <w:rFonts w:ascii="Arial" w:cs="Arial" w:eastAsia="Arial" w:hAnsi="Arial"/>
                <w:sz w:val="20"/>
                <w:szCs w:val="20"/>
                <w:color w:val="auto"/>
              </w:rPr>
              <w:t>Environmental Services</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371,263</w:t>
            </w: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rPr>
              <w:t>346,791</w:t>
            </w: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rPr>
              <w:t>315,674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24,472</w:t>
            </w:r>
          </w:p>
        </w:tc>
        <w:tc>
          <w:tcPr>
            <w:tcW w:w="820" w:type="dxa"/>
            <w:vAlign w:val="bottom"/>
            <w:gridSpan w:val="2"/>
          </w:tcPr>
          <w:p>
            <w:pPr>
              <w:jc w:val="center"/>
              <w:ind w:left="31"/>
              <w:spacing w:after="0"/>
              <w:rPr>
                <w:sz w:val="20"/>
                <w:szCs w:val="20"/>
                <w:color w:val="auto"/>
              </w:rPr>
            </w:pPr>
            <w:r>
              <w:rPr>
                <w:rFonts w:ascii="Arial" w:cs="Arial" w:eastAsia="Arial" w:hAnsi="Arial"/>
                <w:sz w:val="18"/>
                <w:szCs w:val="18"/>
                <w:color w:val="auto"/>
                <w:w w:val="87"/>
              </w:rPr>
              <w:t>7.1</w:t>
            </w:r>
          </w:p>
        </w:tc>
        <w:tc>
          <w:tcPr>
            <w:tcW w:w="1000" w:type="dxa"/>
            <w:vAlign w:val="bottom"/>
            <w:gridSpan w:val="2"/>
          </w:tcPr>
          <w:p>
            <w:pPr>
              <w:jc w:val="right"/>
              <w:ind w:right="31"/>
              <w:spacing w:after="0"/>
              <w:rPr>
                <w:sz w:val="20"/>
                <w:szCs w:val="20"/>
                <w:color w:val="auto"/>
              </w:rPr>
            </w:pPr>
            <w:r>
              <w:rPr>
                <w:rFonts w:ascii="Arial" w:cs="Arial" w:eastAsia="Arial" w:hAnsi="Arial"/>
                <w:sz w:val="18"/>
                <w:szCs w:val="18"/>
                <w:color w:val="auto"/>
              </w:rPr>
              <w:t>31,117</w:t>
            </w:r>
          </w:p>
        </w:tc>
        <w:tc>
          <w:tcPr>
            <w:tcW w:w="840" w:type="dxa"/>
            <w:vAlign w:val="bottom"/>
            <w:gridSpan w:val="2"/>
          </w:tcPr>
          <w:p>
            <w:pPr>
              <w:jc w:val="center"/>
              <w:ind w:left="11"/>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87"/>
        </w:trPr>
        <w:tc>
          <w:tcPr>
            <w:tcW w:w="3360" w:type="dxa"/>
            <w:vAlign w:val="bottom"/>
            <w:shd w:val="clear" w:color="auto" w:fill="E6E6E6"/>
          </w:tcPr>
          <w:p>
            <w:pPr>
              <w:ind w:left="200"/>
              <w:spacing w:after="0"/>
              <w:rPr>
                <w:sz w:val="20"/>
                <w:szCs w:val="20"/>
                <w:color w:val="auto"/>
              </w:rPr>
            </w:pPr>
            <w:r>
              <w:rPr>
                <w:rFonts w:ascii="Arial" w:cs="Arial" w:eastAsia="Arial" w:hAnsi="Arial"/>
                <w:sz w:val="20"/>
                <w:szCs w:val="20"/>
                <w:color w:val="auto"/>
                <w:w w:val="96"/>
              </w:rPr>
              <w:t>Safety-Kleen Sustainability Solutions</w:t>
            </w:r>
          </w:p>
        </w:tc>
        <w:tc>
          <w:tcPr>
            <w:tcW w:w="94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rPr>
              <w:t>78,575</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color w:val="auto"/>
              </w:rPr>
              <w:t>78,089</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color w:val="auto"/>
              </w:rPr>
              <w:t>72,762</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486</w:t>
            </w:r>
          </w:p>
        </w:tc>
        <w:tc>
          <w:tcPr>
            <w:tcW w:w="820" w:type="dxa"/>
            <w:vAlign w:val="bottom"/>
            <w:gridSpan w:val="2"/>
            <w:shd w:val="clear" w:color="auto" w:fill="E6E6E6"/>
          </w:tcPr>
          <w:p>
            <w:pPr>
              <w:jc w:val="center"/>
              <w:ind w:left="31"/>
              <w:spacing w:after="0"/>
              <w:rPr>
                <w:sz w:val="20"/>
                <w:szCs w:val="20"/>
                <w:color w:val="auto"/>
              </w:rPr>
            </w:pPr>
            <w:r>
              <w:rPr>
                <w:rFonts w:ascii="Arial" w:cs="Arial" w:eastAsia="Arial" w:hAnsi="Arial"/>
                <w:sz w:val="18"/>
                <w:szCs w:val="18"/>
                <w:color w:val="auto"/>
                <w:w w:val="87"/>
              </w:rPr>
              <w:t>0.6</w:t>
            </w:r>
          </w:p>
        </w:tc>
        <w:tc>
          <w:tcPr>
            <w:tcW w:w="1000" w:type="dxa"/>
            <w:vAlign w:val="bottom"/>
            <w:gridSpan w:val="2"/>
            <w:shd w:val="clear" w:color="auto" w:fill="E6E6E6"/>
          </w:tcPr>
          <w:p>
            <w:pPr>
              <w:jc w:val="right"/>
              <w:ind w:right="31"/>
              <w:spacing w:after="0"/>
              <w:rPr>
                <w:sz w:val="20"/>
                <w:szCs w:val="20"/>
                <w:color w:val="auto"/>
              </w:rPr>
            </w:pPr>
            <w:r>
              <w:rPr>
                <w:rFonts w:ascii="Arial" w:cs="Arial" w:eastAsia="Arial" w:hAnsi="Arial"/>
                <w:sz w:val="18"/>
                <w:szCs w:val="18"/>
                <w:color w:val="auto"/>
              </w:rPr>
              <w:t>5,327</w:t>
            </w:r>
          </w:p>
        </w:tc>
        <w:tc>
          <w:tcPr>
            <w:tcW w:w="840" w:type="dxa"/>
            <w:vAlign w:val="bottom"/>
            <w:gridSpan w:val="2"/>
            <w:shd w:val="clear" w:color="auto" w:fill="E6E6E6"/>
          </w:tcPr>
          <w:p>
            <w:pPr>
              <w:jc w:val="center"/>
              <w:ind w:left="11"/>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71"/>
        </w:trPr>
        <w:tc>
          <w:tcPr>
            <w:tcW w:w="3360" w:type="dxa"/>
            <w:vAlign w:val="bottom"/>
            <w:tcBorders>
              <w:bottom w:val="single" w:sz="8" w:color="E6E6E6"/>
            </w:tcBorders>
          </w:tcPr>
          <w:p>
            <w:pPr>
              <w:ind w:left="200"/>
              <w:spacing w:after="0"/>
              <w:rPr>
                <w:sz w:val="20"/>
                <w:szCs w:val="20"/>
                <w:color w:val="auto"/>
              </w:rPr>
            </w:pPr>
            <w:r>
              <w:rPr>
                <w:rFonts w:ascii="Arial" w:cs="Arial" w:eastAsia="Arial" w:hAnsi="Arial"/>
                <w:sz w:val="20"/>
                <w:szCs w:val="20"/>
                <w:color w:val="auto"/>
              </w:rPr>
              <w:t>Corporate</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261,810</w:t>
            </w:r>
          </w:p>
        </w:tc>
        <w:tc>
          <w:tcPr>
            <w:tcW w:w="80" w:type="dxa"/>
            <w:vAlign w:val="bottom"/>
            <w:tcBorders>
              <w:bottom w:val="single" w:sz="8" w:color="E6E6E6"/>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225,578</w:t>
            </w:r>
          </w:p>
        </w:tc>
        <w:tc>
          <w:tcPr>
            <w:tcW w:w="80" w:type="dxa"/>
            <w:vAlign w:val="bottom"/>
            <w:tcBorders>
              <w:bottom w:val="single" w:sz="8" w:color="E6E6E6"/>
            </w:tcBorders>
          </w:tcPr>
          <w:p>
            <w:pPr>
              <w:spacing w:after="0"/>
              <w:rPr>
                <w:sz w:val="23"/>
                <w:szCs w:val="23"/>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212,111</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36,232</w:t>
            </w:r>
          </w:p>
        </w:tc>
        <w:tc>
          <w:tcPr>
            <w:tcW w:w="820" w:type="dxa"/>
            <w:vAlign w:val="bottom"/>
            <w:tcBorders>
              <w:bottom w:val="single" w:sz="8" w:color="E6E6E6"/>
            </w:tcBorders>
            <w:gridSpan w:val="2"/>
          </w:tcPr>
          <w:p>
            <w:pPr>
              <w:jc w:val="center"/>
              <w:ind w:left="11"/>
              <w:spacing w:after="0"/>
              <w:rPr>
                <w:sz w:val="20"/>
                <w:szCs w:val="20"/>
                <w:color w:val="auto"/>
              </w:rPr>
            </w:pPr>
            <w:r>
              <w:rPr>
                <w:rFonts w:ascii="Arial" w:cs="Arial" w:eastAsia="Arial" w:hAnsi="Arial"/>
                <w:sz w:val="18"/>
                <w:szCs w:val="18"/>
                <w:color w:val="auto"/>
                <w:w w:val="91"/>
              </w:rPr>
              <w:t>16.1</w:t>
            </w:r>
          </w:p>
        </w:tc>
        <w:tc>
          <w:tcPr>
            <w:tcW w:w="80" w:type="dxa"/>
            <w:vAlign w:val="bottom"/>
            <w:tcBorders>
              <w:bottom w:val="single" w:sz="8" w:color="E6E6E6"/>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13,467</w:t>
            </w:r>
          </w:p>
        </w:tc>
        <w:tc>
          <w:tcPr>
            <w:tcW w:w="840" w:type="dxa"/>
            <w:vAlign w:val="bottom"/>
            <w:tcBorders>
              <w:bottom w:val="single" w:sz="8" w:color="E6E6E6"/>
            </w:tcBorders>
            <w:gridSpan w:val="2"/>
          </w:tcPr>
          <w:p>
            <w:pPr>
              <w:jc w:val="center"/>
              <w:ind w:left="11"/>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79"/>
        </w:trPr>
        <w:tc>
          <w:tcPr>
            <w:tcW w:w="3360" w:type="dxa"/>
            <w:vAlign w:val="bottom"/>
            <w:shd w:val="clear" w:color="auto" w:fill="E6E6E6"/>
          </w:tcPr>
          <w:p>
            <w:pPr>
              <w:ind w:left="280"/>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E6E6E6"/>
          </w:tcPr>
          <w:p>
            <w:pPr>
              <w:jc w:val="right"/>
              <w:ind w:right="31"/>
              <w:spacing w:after="0"/>
              <w:rPr>
                <w:sz w:val="20"/>
                <w:szCs w:val="20"/>
                <w:color w:val="auto"/>
              </w:rPr>
            </w:pPr>
            <w:r>
              <w:rPr>
                <w:rFonts w:ascii="Arial" w:cs="Arial" w:eastAsia="Arial" w:hAnsi="Arial"/>
                <w:sz w:val="18"/>
                <w:szCs w:val="18"/>
                <w:b w:val="1"/>
                <w:bCs w:val="1"/>
                <w:color w:val="auto"/>
              </w:rPr>
              <w:t>711,648</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b w:val="1"/>
                <w:bCs w:val="1"/>
                <w:color w:val="auto"/>
              </w:rPr>
              <w:t>650,458</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b w:val="1"/>
                <w:bCs w:val="1"/>
                <w:color w:val="auto"/>
              </w:rPr>
              <w:t>600,547</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51"/>
              <w:spacing w:after="0"/>
              <w:rPr>
                <w:sz w:val="20"/>
                <w:szCs w:val="20"/>
                <w:color w:val="auto"/>
              </w:rPr>
            </w:pPr>
            <w:r>
              <w:rPr>
                <w:rFonts w:ascii="Arial" w:cs="Arial" w:eastAsia="Arial" w:hAnsi="Arial"/>
                <w:sz w:val="18"/>
                <w:szCs w:val="18"/>
                <w:b w:val="1"/>
                <w:bCs w:val="1"/>
                <w:color w:val="auto"/>
              </w:rPr>
              <w:t>61,190</w:t>
            </w:r>
          </w:p>
        </w:tc>
        <w:tc>
          <w:tcPr>
            <w:tcW w:w="820" w:type="dxa"/>
            <w:vAlign w:val="bottom"/>
            <w:gridSpan w:val="2"/>
            <w:shd w:val="clear" w:color="auto" w:fill="E6E6E6"/>
          </w:tcPr>
          <w:p>
            <w:pPr>
              <w:jc w:val="center"/>
              <w:ind w:left="31"/>
              <w:spacing w:after="0"/>
              <w:rPr>
                <w:sz w:val="20"/>
                <w:szCs w:val="20"/>
                <w:color w:val="auto"/>
              </w:rPr>
            </w:pPr>
            <w:r>
              <w:rPr>
                <w:rFonts w:ascii="Arial" w:cs="Arial" w:eastAsia="Arial" w:hAnsi="Arial"/>
                <w:sz w:val="18"/>
                <w:szCs w:val="18"/>
                <w:color w:val="auto"/>
                <w:w w:val="87"/>
              </w:rPr>
              <w:t>9.4</w:t>
            </w:r>
          </w:p>
        </w:tc>
        <w:tc>
          <w:tcPr>
            <w:tcW w:w="1000" w:type="dxa"/>
            <w:vAlign w:val="bottom"/>
            <w:gridSpan w:val="2"/>
            <w:shd w:val="clear" w:color="auto" w:fill="E6E6E6"/>
          </w:tcPr>
          <w:p>
            <w:pPr>
              <w:jc w:val="right"/>
              <w:ind w:right="31"/>
              <w:spacing w:after="0"/>
              <w:rPr>
                <w:sz w:val="20"/>
                <w:szCs w:val="20"/>
                <w:color w:val="auto"/>
              </w:rPr>
            </w:pPr>
            <w:r>
              <w:rPr>
                <w:rFonts w:ascii="Arial" w:cs="Arial" w:eastAsia="Arial" w:hAnsi="Arial"/>
                <w:sz w:val="18"/>
                <w:szCs w:val="18"/>
                <w:b w:val="1"/>
                <w:bCs w:val="1"/>
                <w:color w:val="auto"/>
              </w:rPr>
              <w:t>49,911</w:t>
            </w:r>
          </w:p>
        </w:tc>
        <w:tc>
          <w:tcPr>
            <w:tcW w:w="840" w:type="dxa"/>
            <w:vAlign w:val="bottom"/>
            <w:gridSpan w:val="2"/>
            <w:shd w:val="clear" w:color="auto" w:fill="E6E6E6"/>
          </w:tcPr>
          <w:p>
            <w:pPr>
              <w:jc w:val="center"/>
              <w:ind w:left="11"/>
              <w:spacing w:after="0"/>
              <w:rPr>
                <w:sz w:val="20"/>
                <w:szCs w:val="20"/>
                <w:color w:val="auto"/>
              </w:rPr>
            </w:pPr>
            <w:r>
              <w:rPr>
                <w:rFonts w:ascii="Arial" w:cs="Arial" w:eastAsia="Arial" w:hAnsi="Arial"/>
                <w:sz w:val="18"/>
                <w:szCs w:val="18"/>
                <w:color w:val="auto"/>
                <w:w w:val="87"/>
              </w:rPr>
              <w:t>8.3</w:t>
            </w:r>
          </w:p>
        </w:tc>
        <w:tc>
          <w:tcPr>
            <w:tcW w:w="0" w:type="dxa"/>
            <w:vAlign w:val="bottom"/>
          </w:tcPr>
          <w:p>
            <w:pPr>
              <w:spacing w:after="0"/>
              <w:rPr>
                <w:sz w:val="1"/>
                <w:szCs w:val="1"/>
                <w:color w:val="auto"/>
              </w:rPr>
            </w:pPr>
          </w:p>
        </w:tc>
      </w:tr>
      <w:tr>
        <w:trPr>
          <w:trHeight w:val="246"/>
        </w:trPr>
        <w:tc>
          <w:tcPr>
            <w:tcW w:w="336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Adjusted EBITDA:</w:t>
            </w:r>
          </w:p>
        </w:tc>
        <w:tc>
          <w:tcPr>
            <w:tcW w:w="94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760" w:type="dxa"/>
            <w:vAlign w:val="bottom"/>
            <w:tcBorders>
              <w:top w:val="single" w:sz="8" w:color="E6E6E6"/>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760" w:type="dxa"/>
            <w:vAlign w:val="bottom"/>
            <w:tcBorders>
              <w:top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3360" w:type="dxa"/>
            <w:vAlign w:val="bottom"/>
            <w:shd w:val="clear" w:color="auto" w:fill="E6E6E6"/>
          </w:tcPr>
          <w:p>
            <w:pPr>
              <w:ind w:left="200"/>
              <w:spacing w:after="0"/>
              <w:rPr>
                <w:sz w:val="20"/>
                <w:szCs w:val="20"/>
                <w:color w:val="auto"/>
              </w:rPr>
            </w:pPr>
            <w:r>
              <w:rPr>
                <w:rFonts w:ascii="Arial" w:cs="Arial" w:eastAsia="Arial" w:hAnsi="Arial"/>
                <w:sz w:val="20"/>
                <w:szCs w:val="20"/>
                <w:color w:val="auto"/>
              </w:rPr>
              <w:t>Environmental Services</w:t>
            </w:r>
          </w:p>
        </w:tc>
        <w:tc>
          <w:tcPr>
            <w:tcW w:w="94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w w:val="99"/>
              </w:rPr>
              <w:t>1,267,462</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color w:val="auto"/>
              </w:rPr>
              <w:t>1,101,608</w:t>
            </w:r>
          </w:p>
        </w:tc>
        <w:tc>
          <w:tcPr>
            <w:tcW w:w="10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color w:val="auto"/>
              </w:rPr>
              <w:t>953,053</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165,854</w:t>
            </w:r>
          </w:p>
        </w:tc>
        <w:tc>
          <w:tcPr>
            <w:tcW w:w="820" w:type="dxa"/>
            <w:vAlign w:val="bottom"/>
            <w:gridSpan w:val="2"/>
            <w:shd w:val="clear" w:color="auto" w:fill="E6E6E6"/>
          </w:tcPr>
          <w:p>
            <w:pPr>
              <w:jc w:val="center"/>
              <w:ind w:left="11"/>
              <w:spacing w:after="0"/>
              <w:rPr>
                <w:sz w:val="20"/>
                <w:szCs w:val="20"/>
                <w:color w:val="auto"/>
              </w:rPr>
            </w:pPr>
            <w:r>
              <w:rPr>
                <w:rFonts w:ascii="Arial" w:cs="Arial" w:eastAsia="Arial" w:hAnsi="Arial"/>
                <w:sz w:val="18"/>
                <w:szCs w:val="18"/>
                <w:color w:val="auto"/>
                <w:w w:val="91"/>
              </w:rPr>
              <w:t>15.1</w:t>
            </w:r>
          </w:p>
        </w:tc>
        <w:tc>
          <w:tcPr>
            <w:tcW w:w="1000" w:type="dxa"/>
            <w:vAlign w:val="bottom"/>
            <w:gridSpan w:val="2"/>
            <w:shd w:val="clear" w:color="auto" w:fill="E6E6E6"/>
          </w:tcPr>
          <w:p>
            <w:pPr>
              <w:jc w:val="right"/>
              <w:ind w:right="31"/>
              <w:spacing w:after="0"/>
              <w:rPr>
                <w:sz w:val="20"/>
                <w:szCs w:val="20"/>
                <w:color w:val="auto"/>
              </w:rPr>
            </w:pPr>
            <w:r>
              <w:rPr>
                <w:rFonts w:ascii="Arial" w:cs="Arial" w:eastAsia="Arial" w:hAnsi="Arial"/>
                <w:sz w:val="18"/>
                <w:szCs w:val="18"/>
                <w:color w:val="auto"/>
              </w:rPr>
              <w:t>148,555</w:t>
            </w:r>
          </w:p>
        </w:tc>
        <w:tc>
          <w:tcPr>
            <w:tcW w:w="840" w:type="dxa"/>
            <w:vAlign w:val="bottom"/>
            <w:gridSpan w:val="2"/>
            <w:shd w:val="clear" w:color="auto" w:fill="E6E6E6"/>
          </w:tcPr>
          <w:p>
            <w:pPr>
              <w:jc w:val="center"/>
              <w:ind w:left="11"/>
              <w:spacing w:after="0"/>
              <w:rPr>
                <w:sz w:val="20"/>
                <w:szCs w:val="20"/>
                <w:color w:val="auto"/>
              </w:rPr>
            </w:pPr>
            <w:r>
              <w:rPr>
                <w:rFonts w:ascii="Arial" w:cs="Arial" w:eastAsia="Arial" w:hAnsi="Arial"/>
                <w:sz w:val="18"/>
                <w:szCs w:val="18"/>
                <w:color w:val="auto"/>
                <w:w w:val="85"/>
              </w:rPr>
              <w:t>15.6</w:t>
            </w:r>
          </w:p>
        </w:tc>
        <w:tc>
          <w:tcPr>
            <w:tcW w:w="0" w:type="dxa"/>
            <w:vAlign w:val="bottom"/>
          </w:tcPr>
          <w:p>
            <w:pPr>
              <w:spacing w:after="0"/>
              <w:rPr>
                <w:sz w:val="1"/>
                <w:szCs w:val="1"/>
                <w:color w:val="auto"/>
              </w:rPr>
            </w:pPr>
          </w:p>
        </w:tc>
      </w:tr>
      <w:tr>
        <w:trPr>
          <w:trHeight w:val="275"/>
        </w:trPr>
        <w:tc>
          <w:tcPr>
            <w:tcW w:w="3360" w:type="dxa"/>
            <w:vAlign w:val="bottom"/>
          </w:tcPr>
          <w:p>
            <w:pPr>
              <w:ind w:left="200"/>
              <w:spacing w:after="0"/>
              <w:rPr>
                <w:sz w:val="20"/>
                <w:szCs w:val="20"/>
                <w:color w:val="auto"/>
              </w:rPr>
            </w:pPr>
            <w:r>
              <w:rPr>
                <w:rFonts w:ascii="Arial" w:cs="Arial" w:eastAsia="Arial" w:hAnsi="Arial"/>
                <w:sz w:val="20"/>
                <w:szCs w:val="20"/>
                <w:color w:val="auto"/>
                <w:w w:val="96"/>
              </w:rPr>
              <w:t>Safety-Kleen Sustainability Solutions</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147,006</w:t>
            </w: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rPr>
              <w:t>172,873</w:t>
            </w: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rPr>
              <w:t>306,327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w w:val="98"/>
              </w:rPr>
              <w:t>(25,867)</w:t>
            </w:r>
          </w:p>
        </w:tc>
        <w:tc>
          <w:tcPr>
            <w:tcW w:w="820" w:type="dxa"/>
            <w:vAlign w:val="bottom"/>
            <w:gridSpan w:val="2"/>
          </w:tcPr>
          <w:p>
            <w:pPr>
              <w:jc w:val="center"/>
              <w:ind w:left="11"/>
              <w:spacing w:after="0"/>
              <w:rPr>
                <w:sz w:val="20"/>
                <w:szCs w:val="20"/>
                <w:color w:val="auto"/>
              </w:rPr>
            </w:pPr>
            <w:r>
              <w:rPr>
                <w:rFonts w:ascii="Arial" w:cs="Arial" w:eastAsia="Arial" w:hAnsi="Arial"/>
                <w:sz w:val="18"/>
                <w:szCs w:val="18"/>
                <w:color w:val="auto"/>
                <w:w w:val="93"/>
              </w:rPr>
              <w:t>(15.0)</w:t>
            </w:r>
          </w:p>
        </w:tc>
        <w:tc>
          <w:tcPr>
            <w:tcW w:w="1000" w:type="dxa"/>
            <w:vAlign w:val="bottom"/>
            <w:gridSpan w:val="2"/>
          </w:tcPr>
          <w:p>
            <w:pPr>
              <w:jc w:val="right"/>
              <w:ind w:right="31"/>
              <w:spacing w:after="0"/>
              <w:rPr>
                <w:sz w:val="20"/>
                <w:szCs w:val="20"/>
                <w:color w:val="auto"/>
              </w:rPr>
            </w:pPr>
            <w:r>
              <w:rPr>
                <w:rFonts w:ascii="Arial" w:cs="Arial" w:eastAsia="Arial" w:hAnsi="Arial"/>
                <w:sz w:val="18"/>
                <w:szCs w:val="18"/>
                <w:color w:val="auto"/>
              </w:rPr>
              <w:t>(133,454)</w:t>
            </w:r>
          </w:p>
        </w:tc>
        <w:tc>
          <w:tcPr>
            <w:tcW w:w="840" w:type="dxa"/>
            <w:vAlign w:val="bottom"/>
            <w:gridSpan w:val="2"/>
          </w:tcPr>
          <w:p>
            <w:pPr>
              <w:jc w:val="center"/>
              <w:ind w:left="11"/>
              <w:spacing w:after="0"/>
              <w:rPr>
                <w:sz w:val="20"/>
                <w:szCs w:val="20"/>
                <w:color w:val="auto"/>
              </w:rPr>
            </w:pPr>
            <w:r>
              <w:rPr>
                <w:rFonts w:ascii="Arial" w:cs="Arial" w:eastAsia="Arial" w:hAnsi="Arial"/>
                <w:sz w:val="18"/>
                <w:szCs w:val="18"/>
                <w:color w:val="auto"/>
                <w:w w:val="89"/>
              </w:rPr>
              <w:t>(43.6)</w:t>
            </w:r>
          </w:p>
        </w:tc>
        <w:tc>
          <w:tcPr>
            <w:tcW w:w="0" w:type="dxa"/>
            <w:vAlign w:val="bottom"/>
          </w:tcPr>
          <w:p>
            <w:pPr>
              <w:spacing w:after="0"/>
              <w:rPr>
                <w:sz w:val="1"/>
                <w:szCs w:val="1"/>
                <w:color w:val="auto"/>
              </w:rPr>
            </w:pPr>
          </w:p>
        </w:tc>
      </w:tr>
      <w:tr>
        <w:trPr>
          <w:trHeight w:val="277"/>
        </w:trPr>
        <w:tc>
          <w:tcPr>
            <w:tcW w:w="336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20"/>
                <w:szCs w:val="20"/>
                <w:color w:val="auto"/>
              </w:rPr>
              <w:t>Corporate</w:t>
            </w:r>
          </w:p>
        </w:tc>
        <w:tc>
          <w:tcPr>
            <w:tcW w:w="940" w:type="dxa"/>
            <w:vAlign w:val="bottom"/>
            <w:tcBorders>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(297,534)</w:t>
            </w:r>
          </w:p>
        </w:tc>
        <w:tc>
          <w:tcPr>
            <w:tcW w:w="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(261,911)</w:t>
            </w:r>
          </w:p>
        </w:tc>
        <w:tc>
          <w:tcPr>
            <w:tcW w:w="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(237,252)</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w w:val="98"/>
              </w:rPr>
              <w:t>(35,623)</w:t>
            </w:r>
          </w:p>
        </w:tc>
        <w:tc>
          <w:tcPr>
            <w:tcW w:w="820" w:type="dxa"/>
            <w:vAlign w:val="bottom"/>
            <w:tcBorders>
              <w:bottom w:val="single" w:sz="8" w:color="E6E6E6"/>
            </w:tcBorders>
            <w:gridSpan w:val="2"/>
            <w:shd w:val="clear" w:color="auto" w:fill="E6E6E6"/>
          </w:tcPr>
          <w:p>
            <w:pPr>
              <w:jc w:val="center"/>
              <w:ind w:left="11"/>
              <w:spacing w:after="0"/>
              <w:rPr>
                <w:sz w:val="20"/>
                <w:szCs w:val="20"/>
                <w:color w:val="auto"/>
              </w:rPr>
            </w:pPr>
            <w:r>
              <w:rPr>
                <w:rFonts w:ascii="Arial" w:cs="Arial" w:eastAsia="Arial" w:hAnsi="Arial"/>
                <w:sz w:val="18"/>
                <w:szCs w:val="18"/>
                <w:color w:val="auto"/>
                <w:w w:val="93"/>
              </w:rPr>
              <w:t>(13.6)</w:t>
            </w:r>
          </w:p>
        </w:tc>
        <w:tc>
          <w:tcPr>
            <w:tcW w:w="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(24,659)</w:t>
            </w:r>
          </w:p>
        </w:tc>
        <w:tc>
          <w:tcPr>
            <w:tcW w:w="840" w:type="dxa"/>
            <w:vAlign w:val="bottom"/>
            <w:tcBorders>
              <w:bottom w:val="single" w:sz="8" w:color="E6E6E6"/>
            </w:tcBorders>
            <w:gridSpan w:val="2"/>
            <w:shd w:val="clear" w:color="auto" w:fill="E6E6E6"/>
          </w:tcPr>
          <w:p>
            <w:pPr>
              <w:jc w:val="center"/>
              <w:ind w:left="11"/>
              <w:spacing w:after="0"/>
              <w:rPr>
                <w:sz w:val="20"/>
                <w:szCs w:val="20"/>
                <w:color w:val="auto"/>
              </w:rPr>
            </w:pPr>
            <w:r>
              <w:rPr>
                <w:rFonts w:ascii="Arial" w:cs="Arial" w:eastAsia="Arial" w:hAnsi="Arial"/>
                <w:sz w:val="18"/>
                <w:szCs w:val="18"/>
                <w:color w:val="auto"/>
                <w:w w:val="89"/>
              </w:rPr>
              <w:t>(10.4)</w:t>
            </w:r>
          </w:p>
        </w:tc>
        <w:tc>
          <w:tcPr>
            <w:tcW w:w="0" w:type="dxa"/>
            <w:vAlign w:val="bottom"/>
          </w:tcPr>
          <w:p>
            <w:pPr>
              <w:spacing w:after="0"/>
              <w:rPr>
                <w:sz w:val="1"/>
                <w:szCs w:val="1"/>
                <w:color w:val="auto"/>
              </w:rPr>
            </w:pPr>
          </w:p>
        </w:tc>
      </w:tr>
      <w:tr>
        <w:trPr>
          <w:trHeight w:val="261"/>
        </w:trPr>
        <w:tc>
          <w:tcPr>
            <w:tcW w:w="3360" w:type="dxa"/>
            <w:vAlign w:val="bottom"/>
            <w:tcBorders>
              <w:bottom w:val="single" w:sz="8" w:color="E6E6E6"/>
            </w:tcBorders>
          </w:tcPr>
          <w:p>
            <w:pPr>
              <w:ind w:left="28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$1,116,934</w:t>
            </w:r>
          </w:p>
        </w:tc>
        <w:tc>
          <w:tcPr>
            <w:tcW w:w="8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3"/>
              </w:rPr>
              <w:t>$1,012,570</w:t>
            </w:r>
          </w:p>
        </w:tc>
        <w:tc>
          <w:tcPr>
            <w:tcW w:w="8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0"/>
              </w:rPr>
              <w:t>$1,022,128</w:t>
            </w:r>
          </w:p>
        </w:tc>
        <w:tc>
          <w:tcPr>
            <w:tcW w:w="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104,364</w:t>
            </w:r>
          </w:p>
        </w:tc>
        <w:tc>
          <w:tcPr>
            <w:tcW w:w="820" w:type="dxa"/>
            <w:vAlign w:val="bottom"/>
            <w:tcBorders>
              <w:bottom w:val="single" w:sz="8" w:color="E6E6E6"/>
            </w:tcBorders>
            <w:gridSpan w:val="2"/>
          </w:tcPr>
          <w:p>
            <w:pPr>
              <w:jc w:val="center"/>
              <w:ind w:left="31"/>
              <w:spacing w:after="0"/>
              <w:rPr>
                <w:sz w:val="20"/>
                <w:szCs w:val="20"/>
                <w:color w:val="auto"/>
              </w:rPr>
            </w:pPr>
            <w:r>
              <w:rPr>
                <w:rFonts w:ascii="Arial" w:cs="Arial" w:eastAsia="Arial" w:hAnsi="Arial"/>
                <w:sz w:val="18"/>
                <w:szCs w:val="18"/>
                <w:color w:val="auto"/>
                <w:w w:val="90"/>
              </w:rPr>
              <w:t>10.3%</w:t>
            </w:r>
          </w:p>
        </w:tc>
        <w:tc>
          <w:tcPr>
            <w:tcW w:w="80" w:type="dxa"/>
            <w:vAlign w:val="bottom"/>
            <w:tcBorders>
              <w:bottom w:val="single" w:sz="8" w:color="E6E6E6"/>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  (9,558)</w:t>
            </w:r>
          </w:p>
        </w:tc>
        <w:tc>
          <w:tcPr>
            <w:tcW w:w="840" w:type="dxa"/>
            <w:vAlign w:val="bottom"/>
            <w:tcBorders>
              <w:bottom w:val="single" w:sz="8" w:color="E6E6E6"/>
            </w:tcBorders>
            <w:gridSpan w:val="2"/>
          </w:tcPr>
          <w:p>
            <w:pPr>
              <w:jc w:val="center"/>
              <w:ind w:left="31"/>
              <w:spacing w:after="0"/>
              <w:rPr>
                <w:sz w:val="20"/>
                <w:szCs w:val="20"/>
                <w:color w:val="auto"/>
              </w:rPr>
            </w:pPr>
            <w:r>
              <w:rPr>
                <w:rFonts w:ascii="Arial" w:cs="Arial" w:eastAsia="Arial" w:hAnsi="Arial"/>
                <w:sz w:val="18"/>
                <w:szCs w:val="18"/>
                <w:color w:val="auto"/>
                <w:w w:val="90"/>
              </w:rPr>
              <w:t>(0.9)%</w:t>
            </w:r>
          </w:p>
        </w:tc>
        <w:tc>
          <w:tcPr>
            <w:tcW w:w="0" w:type="dxa"/>
            <w:vAlign w:val="bottom"/>
          </w:tcPr>
          <w:p>
            <w:pPr>
              <w:spacing w:after="0"/>
              <w:rPr>
                <w:sz w:val="1"/>
                <w:szCs w:val="1"/>
                <w:color w:val="auto"/>
              </w:rPr>
            </w:pPr>
          </w:p>
        </w:tc>
      </w:tr>
      <w:tr>
        <w:trPr>
          <w:trHeight w:val="271"/>
        </w:trPr>
        <w:tc>
          <w:tcPr>
            <w:tcW w:w="4300" w:type="dxa"/>
            <w:vAlign w:val="bottom"/>
            <w:gridSpan w:val="2"/>
            <w:shd w:val="clear" w:color="auto" w:fill="E6E6E6"/>
          </w:tcPr>
          <w:p>
            <w:pPr>
              <w:ind w:left="60"/>
              <w:spacing w:after="0"/>
              <w:rPr>
                <w:sz w:val="20"/>
                <w:szCs w:val="20"/>
                <w:color w:val="auto"/>
              </w:rPr>
            </w:pPr>
            <w:r>
              <w:rPr>
                <w:rFonts w:ascii="Arial" w:cs="Arial" w:eastAsia="Arial" w:hAnsi="Arial"/>
                <w:sz w:val="18"/>
                <w:szCs w:val="18"/>
                <w:b w:val="1"/>
                <w:bCs w:val="1"/>
                <w:color w:val="auto"/>
              </w:rPr>
              <w:t>Adjusted EBITDA as a % of Direct Revenues:</w:t>
            </w:r>
          </w:p>
        </w:tc>
        <w:tc>
          <w:tcPr>
            <w:tcW w:w="8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7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9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76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360" w:type="dxa"/>
            <w:vAlign w:val="bottom"/>
          </w:tcPr>
          <w:p>
            <w:pPr>
              <w:ind w:left="200"/>
              <w:spacing w:after="0" w:line="281" w:lineRule="exact"/>
              <w:rPr>
                <w:sz w:val="20"/>
                <w:szCs w:val="20"/>
                <w:color w:val="auto"/>
              </w:rPr>
            </w:pPr>
            <w:r>
              <w:rPr>
                <w:rFonts w:ascii="Arial" w:cs="Arial" w:eastAsia="Arial" w:hAnsi="Arial"/>
                <w:sz w:val="20"/>
                <w:szCs w:val="20"/>
                <w:color w:val="auto"/>
              </w:rPr>
              <w:t>Environmental Services</w:t>
            </w:r>
            <w:r>
              <w:rPr>
                <w:rFonts w:ascii="Arial" w:cs="Arial" w:eastAsia="Arial" w:hAnsi="Arial"/>
                <w:sz w:val="25"/>
                <w:szCs w:val="25"/>
                <w:color w:val="auto"/>
                <w:vertAlign w:val="superscript"/>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25.3 %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24.4 %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22.8 %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0.9 %</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360" w:type="dxa"/>
            <w:vAlign w:val="bottom"/>
            <w:shd w:val="clear" w:color="auto" w:fill="E6E6E6"/>
          </w:tcPr>
          <w:p>
            <w:pPr>
              <w:ind w:left="200"/>
              <w:spacing w:after="0" w:line="281" w:lineRule="exact"/>
              <w:rPr>
                <w:sz w:val="20"/>
                <w:szCs w:val="20"/>
                <w:color w:val="auto"/>
              </w:rPr>
            </w:pPr>
            <w:r>
              <w:rPr>
                <w:rFonts w:ascii="Arial" w:cs="Arial" w:eastAsia="Arial" w:hAnsi="Arial"/>
                <w:sz w:val="20"/>
                <w:szCs w:val="20"/>
                <w:color w:val="auto"/>
                <w:w w:val="90"/>
              </w:rPr>
              <w:t>Safety-Kleen Sustainability Solutions</w:t>
            </w:r>
            <w:r>
              <w:rPr>
                <w:rFonts w:ascii="Arial" w:cs="Arial" w:eastAsia="Arial" w:hAnsi="Arial"/>
                <w:sz w:val="25"/>
                <w:szCs w:val="25"/>
                <w:color w:val="auto"/>
                <w:w w:val="90"/>
                <w:vertAlign w:val="superscript"/>
              </w:rPr>
              <w:t>(4)</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16.6 %</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19.3 %</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30.8 %</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 %</w:t>
            </w: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(11.5) %</w:t>
            </w: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360" w:type="dxa"/>
            <w:vAlign w:val="bottom"/>
          </w:tcPr>
          <w:p>
            <w:pPr>
              <w:ind w:left="200"/>
              <w:spacing w:after="0" w:line="281" w:lineRule="exact"/>
              <w:rPr>
                <w:sz w:val="20"/>
                <w:szCs w:val="20"/>
                <w:color w:val="auto"/>
              </w:rPr>
            </w:pPr>
            <w:r>
              <w:rPr>
                <w:rFonts w:ascii="Arial" w:cs="Arial" w:eastAsia="Arial" w:hAnsi="Arial"/>
                <w:sz w:val="20"/>
                <w:szCs w:val="20"/>
                <w:color w:val="auto"/>
              </w:rPr>
              <w:t>Corporate</w:t>
            </w:r>
            <w:r>
              <w:rPr>
                <w:rFonts w:ascii="Arial" w:cs="Arial" w:eastAsia="Arial" w:hAnsi="Arial"/>
                <w:sz w:val="25"/>
                <w:szCs w:val="25"/>
                <w:color w:val="auto"/>
                <w:vertAlign w:val="superscript"/>
              </w:rPr>
              <w:t>(5)</w:t>
            </w:r>
          </w:p>
        </w:tc>
        <w:tc>
          <w:tcPr>
            <w:tcW w:w="940" w:type="dxa"/>
            <w:vAlign w:val="bottom"/>
          </w:tcPr>
          <w:p>
            <w:pPr>
              <w:jc w:val="right"/>
              <w:spacing w:after="0"/>
              <w:rPr>
                <w:sz w:val="20"/>
                <w:szCs w:val="20"/>
                <w:color w:val="auto"/>
              </w:rPr>
            </w:pPr>
            <w:r>
              <w:rPr>
                <w:rFonts w:ascii="Arial" w:cs="Arial" w:eastAsia="Arial" w:hAnsi="Arial"/>
                <w:sz w:val="18"/>
                <w:szCs w:val="18"/>
                <w:color w:val="auto"/>
              </w:rPr>
              <w:t>(5.1)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 %</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360" w:type="dxa"/>
            <w:vAlign w:val="bottom"/>
            <w:shd w:val="clear" w:color="auto" w:fill="E6E6E6"/>
          </w:tcPr>
          <w:p>
            <w:pPr>
              <w:ind w:left="280"/>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19.0 %</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b w:val="1"/>
                <w:bCs w:val="1"/>
                <w:color w:val="auto"/>
              </w:rPr>
              <w:t>18.7 %</w:t>
            </w:r>
          </w:p>
        </w:tc>
        <w:tc>
          <w:tcPr>
            <w:tcW w:w="1040" w:type="dxa"/>
            <w:vAlign w:val="bottom"/>
            <w:gridSpan w:val="2"/>
            <w:shd w:val="clear" w:color="auto" w:fill="E6E6E6"/>
          </w:tcPr>
          <w:p>
            <w:pPr>
              <w:jc w:val="right"/>
              <w:spacing w:after="0"/>
              <w:rPr>
                <w:sz w:val="20"/>
                <w:szCs w:val="20"/>
                <w:color w:val="auto"/>
              </w:rPr>
            </w:pPr>
            <w:r>
              <w:rPr>
                <w:rFonts w:ascii="Arial" w:cs="Arial" w:eastAsia="Arial" w:hAnsi="Arial"/>
                <w:sz w:val="18"/>
                <w:szCs w:val="18"/>
                <w:b w:val="1"/>
                <w:bCs w:val="1"/>
                <w:color w:val="auto"/>
              </w:rPr>
              <w:t>19.8 %</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0.3 %</w:t>
            </w: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0" w:type="dxa"/>
            <w:vAlign w:val="bottom"/>
            <w:gridSpan w:val="2"/>
            <w:shd w:val="clear" w:color="auto" w:fill="E6E6E6"/>
          </w:tcPr>
          <w:p>
            <w:pPr>
              <w:jc w:val="right"/>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N/M = not meaningful</w:t>
      </w:r>
    </w:p>
    <w:p>
      <w:pPr>
        <w:spacing w:after="0" w:line="6" w:lineRule="exact"/>
        <w:rPr>
          <w:sz w:val="20"/>
          <w:szCs w:val="20"/>
          <w:color w:val="auto"/>
        </w:rPr>
      </w:pPr>
    </w:p>
    <w:p>
      <w:pPr>
        <w:ind w:left="720" w:hanging="358"/>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Direct revenue is revenue allocated to the segment performing the provided service.</w:t>
      </w:r>
    </w:p>
    <w:p>
      <w:pPr>
        <w:spacing w:after="0" w:line="6" w:lineRule="exact"/>
        <w:rPr>
          <w:rFonts w:ascii="Arial" w:cs="Arial" w:eastAsia="Arial" w:hAnsi="Arial"/>
          <w:sz w:val="20"/>
          <w:szCs w:val="20"/>
          <w:color w:val="auto"/>
        </w:rPr>
      </w:pPr>
    </w:p>
    <w:p>
      <w:pPr>
        <w:ind w:left="720" w:right="40" w:hanging="358"/>
        <w:spacing w:after="0" w:line="27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Cost of revenues is shown exclusive of (i) accretion of environmental liabilities and (ii) depreciation and amortization which are presented separately on the consolidated statements of operations. Additionally, in 2024, cost of revenue is shown exclusive of $4.3 million of Kimball startup costs which are presented in Cost of revenue on the Company’s Consolidated Statements of Operations but are not included in the Company’s measurement of Adjusted EBITDA. See </w:t>
      </w: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section below for a reconciliation of net income to Adjusted EBITDA.</w:t>
      </w:r>
    </w:p>
    <w:p>
      <w:pPr>
        <w:ind w:left="720" w:right="320" w:hanging="358"/>
        <w:spacing w:after="0" w:line="246"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Selling, general and administrative expenses is shown exclusive of stock-based compensation which is presented in Selling, general and administrative expenses on the Company’s Consolidated Statements of Operations but is not included in the Company’s measurement of Adjusted EBITDA. See </w:t>
      </w:r>
      <w:r>
        <w:rPr>
          <w:rFonts w:ascii="Arial" w:cs="Arial" w:eastAsia="Arial" w:hAnsi="Arial"/>
          <w:sz w:val="20"/>
          <w:szCs w:val="20"/>
          <w:b w:val="1"/>
          <w:bCs w:val="1"/>
          <w:i w:val="1"/>
          <w:iCs w:val="1"/>
          <w:color w:val="auto"/>
        </w:rPr>
        <w:t>Adjusted EBITDA</w:t>
      </w:r>
      <w:r>
        <w:rPr>
          <w:rFonts w:ascii="Arial" w:cs="Arial" w:eastAsia="Arial" w:hAnsi="Arial"/>
          <w:sz w:val="20"/>
          <w:szCs w:val="20"/>
          <w:color w:val="auto"/>
        </w:rPr>
        <w:t xml:space="preserve"> section below for a reconciliation of net income to Adjusted EBITDA.</w:t>
      </w:r>
    </w:p>
    <w:p>
      <w:pPr>
        <w:spacing w:after="0" w:line="2" w:lineRule="exact"/>
        <w:rPr>
          <w:rFonts w:ascii="Arial" w:cs="Arial" w:eastAsia="Arial" w:hAnsi="Arial"/>
          <w:sz w:val="20"/>
          <w:szCs w:val="20"/>
          <w:color w:val="auto"/>
        </w:rPr>
      </w:pPr>
    </w:p>
    <w:p>
      <w:pPr>
        <w:ind w:left="720" w:hanging="358"/>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Calculated as a percentage of individual segment direct revenue.</w:t>
      </w:r>
    </w:p>
    <w:p>
      <w:pPr>
        <w:spacing w:after="0" w:line="6" w:lineRule="exact"/>
        <w:rPr>
          <w:rFonts w:ascii="Arial" w:cs="Arial" w:eastAsia="Arial" w:hAnsi="Arial"/>
          <w:sz w:val="20"/>
          <w:szCs w:val="20"/>
          <w:color w:val="auto"/>
        </w:rPr>
      </w:pPr>
    </w:p>
    <w:p>
      <w:pPr>
        <w:ind w:left="720" w:hanging="358"/>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Calculated as a percentage of total Company revenue.</w:t>
      </w:r>
    </w:p>
    <w:p>
      <w:pPr>
        <w:sectPr>
          <w:pgSz w:w="11880" w:h="15480" w:orient="portrait"/>
          <w:cols w:equalWidth="0" w:num="1">
            <w:col w:w="10120"/>
          </w:cols>
          <w:pgMar w:left="880" w:top="56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880" w:h="15480" w:orient="portrait"/>
          <w:cols w:equalWidth="0" w:num="1">
            <w:col w:w="10120"/>
          </w:cols>
          <w:pgMar w:left="880" w:top="568" w:right="88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i w:val="1"/>
          <w:iCs w:val="1"/>
          <w:color w:val="auto"/>
        </w:rPr>
        <w:t>Direct Revenues</w:t>
      </w:r>
    </w:p>
    <w:p>
      <w:pPr>
        <w:spacing w:after="0" w:line="172" w:lineRule="exact"/>
        <w:rPr>
          <w:sz w:val="20"/>
          <w:szCs w:val="20"/>
          <w:color w:val="auto"/>
        </w:rPr>
      </w:pPr>
    </w:p>
    <w:p>
      <w:pPr>
        <w:ind w:right="40" w:firstLine="709"/>
        <w:spacing w:after="0" w:line="264" w:lineRule="auto"/>
        <w:rPr>
          <w:sz w:val="20"/>
          <w:szCs w:val="20"/>
          <w:color w:val="auto"/>
        </w:rPr>
      </w:pPr>
      <w:r>
        <w:rPr>
          <w:rFonts w:ascii="Arial" w:cs="Arial" w:eastAsia="Arial" w:hAnsi="Arial"/>
          <w:sz w:val="19"/>
          <w:szCs w:val="19"/>
          <w:color w:val="auto"/>
        </w:rPr>
        <w:t>There are many factors which can impact our revenues including, but not limited to: overall levels of industrial activity and economic growth in North America, changes in the regulatory environment including those related to per- and polyfluoroalkyl substances (“PFAS”), impacts of acquisitions and divestitures, competitive industry pricing, overall market incineration capacity including the closure of captive incinerators, the level of emergency response services, government infrastructure investment, reshoring industrial production and manufacturing, existence or non-existence of large scale environmental waste and remediation projects, weather related events, the number of parts washers placed at customer sites, miles driven and related lubricant demand, base and blended oil pricing, market supply for base oil products, market changes relative to the collection of used oil, our ability to manage the spread between oil product prices, and prices for the collection of used oil and foreign currency translation. In addition, customer efforts to minimize hazardous waste and changes in regulation can impact our revenues.</w:t>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Environmental Services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w w:val="96"/>
              </w:rPr>
              <w:t>For the years ended December 31,</w:t>
            </w:r>
          </w:p>
        </w:tc>
        <w:tc>
          <w:tcPr>
            <w:tcW w:w="80" w:type="dxa"/>
            <w:vAlign w:val="bottom"/>
          </w:tcPr>
          <w:p>
            <w:pPr>
              <w:spacing w:after="0"/>
              <w:rPr>
                <w:sz w:val="20"/>
                <w:szCs w:val="20"/>
                <w:color w:val="auto"/>
              </w:rPr>
            </w:pPr>
          </w:p>
        </w:tc>
        <w:tc>
          <w:tcPr>
            <w:tcW w:w="20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2024 over 2023</w:t>
            </w:r>
          </w:p>
        </w:tc>
        <w:tc>
          <w:tcPr>
            <w:tcW w:w="8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203"/>
        </w:trPr>
        <w:tc>
          <w:tcPr>
            <w:tcW w:w="2660" w:type="dxa"/>
            <w:vAlign w:val="bottom"/>
            <w:vMerge w:val="restart"/>
          </w:tcPr>
          <w:p>
            <w:pPr>
              <w:ind w:left="60"/>
              <w:spacing w:after="0"/>
              <w:rPr>
                <w:sz w:val="20"/>
                <w:szCs w:val="20"/>
                <w:color w:val="auto"/>
              </w:rPr>
            </w:pPr>
            <w:r>
              <w:rPr>
                <w:rFonts w:ascii="Arial" w:cs="Arial" w:eastAsia="Arial" w:hAnsi="Arial"/>
                <w:sz w:val="18"/>
                <w:szCs w:val="18"/>
                <w:color w:val="auto"/>
                <w:w w:val="91"/>
              </w:rPr>
              <w:t>(in thousands, except percentages)</w:t>
            </w:r>
          </w:p>
        </w:tc>
        <w:tc>
          <w:tcPr>
            <w:tcW w:w="80" w:type="dxa"/>
            <w:vAlign w:val="bottom"/>
            <w:vMerge w:val="restart"/>
          </w:tcPr>
          <w:p>
            <w:pPr>
              <w:spacing w:after="0"/>
              <w:rPr>
                <w:sz w:val="17"/>
                <w:szCs w:val="17"/>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8"/>
                <w:szCs w:val="18"/>
                <w:b w:val="1"/>
                <w:bCs w:val="1"/>
                <w:color w:val="auto"/>
              </w:rPr>
              <w:t>2024</w:t>
            </w:r>
          </w:p>
        </w:tc>
        <w:tc>
          <w:tcPr>
            <w:tcW w:w="60" w:type="dxa"/>
            <w:vAlign w:val="bottom"/>
            <w:vMerge w:val="restart"/>
          </w:tcPr>
          <w:p>
            <w:pPr>
              <w:spacing w:after="0"/>
              <w:rPr>
                <w:sz w:val="17"/>
                <w:szCs w:val="17"/>
                <w:color w:val="auto"/>
              </w:rPr>
            </w:pPr>
          </w:p>
        </w:tc>
        <w:tc>
          <w:tcPr>
            <w:tcW w:w="100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2023</w:t>
            </w:r>
          </w:p>
        </w:tc>
        <w:tc>
          <w:tcPr>
            <w:tcW w:w="60" w:type="dxa"/>
            <w:vAlign w:val="bottom"/>
            <w:vMerge w:val="restart"/>
          </w:tcPr>
          <w:p>
            <w:pPr>
              <w:spacing w:after="0"/>
              <w:rPr>
                <w:sz w:val="17"/>
                <w:szCs w:val="17"/>
                <w:color w:val="auto"/>
              </w:rPr>
            </w:pPr>
          </w:p>
        </w:tc>
        <w:tc>
          <w:tcPr>
            <w:tcW w:w="100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060" w:type="dxa"/>
            <w:vAlign w:val="bottom"/>
            <w:gridSpan w:val="2"/>
          </w:tcPr>
          <w:p>
            <w:pPr>
              <w:ind w:left="480"/>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080" w:type="dxa"/>
            <w:vAlign w:val="bottom"/>
            <w:gridSpan w:val="2"/>
          </w:tcPr>
          <w:p>
            <w:pPr>
              <w:jc w:val="right"/>
              <w:ind w:right="331"/>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1"/>
        </w:trPr>
        <w:tc>
          <w:tcPr>
            <w:tcW w:w="274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Direct revenues</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1"/>
              </w:rPr>
              <w:t>$5,004,747</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w w:val="97"/>
              </w:rPr>
              <w:t>$4,511,442</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w w:val="97"/>
              </w:rPr>
              <w:t>$4,171,706</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$ 493,305</w:t>
            </w:r>
          </w:p>
        </w:tc>
        <w:tc>
          <w:tcPr>
            <w:tcW w:w="1060" w:type="dxa"/>
            <w:vAlign w:val="bottom"/>
            <w:gridSpan w:val="2"/>
            <w:shd w:val="clear" w:color="auto" w:fill="E6E6E6"/>
          </w:tcPr>
          <w:p>
            <w:pPr>
              <w:ind w:left="480"/>
              <w:spacing w:after="0"/>
              <w:rPr>
                <w:sz w:val="20"/>
                <w:szCs w:val="20"/>
                <w:color w:val="auto"/>
              </w:rPr>
            </w:pPr>
            <w:r>
              <w:rPr>
                <w:rFonts w:ascii="Arial" w:cs="Arial" w:eastAsia="Arial" w:hAnsi="Arial"/>
                <w:sz w:val="20"/>
                <w:szCs w:val="20"/>
                <w:color w:val="auto"/>
                <w:w w:val="89"/>
              </w:rPr>
              <w:t>10.9 %</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$ 339,736</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8.1 %</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Environmental Services direct revenues for the year ended December 31, 2024 increased $493.3 million from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comparable period in 2023 driven by incremental revenues from legacy operations combined with acquisitive growth. Field and</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emergency response service revenues increased $285.2 million from 2023 driven by approximately $220.4 million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incremental revenue from the acquisition of HEPACO as well as contributions from legacy operations. Technical services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$169.7 million with contributions across our portfolio of waste disposal services driven by favorable volumes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of waste disposed, most notably in our incinerators and TSDFs, and favorable pricing. Utilization at our incinerators for 2024</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was 88% as compared to 84% in the prior year. Revenue from our Safety-Kleen branches' core service offerings increased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$76.9 million as both pricing and demand increased for our containerized waste, vacuum and parts washer services. Revenue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from our industrial services operations declined $41.4 million due to lower turnaround activity and related high-value services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compared to 2023. The Canadian operations of the Environmental Services segment were negatively impacted by $7.4 million</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due to foreign currency translation.</w:t>
      </w:r>
    </w:p>
    <w:p>
      <w:pPr>
        <w:spacing w:after="0" w:line="164" w:lineRule="exact"/>
        <w:rPr>
          <w:sz w:val="20"/>
          <w:szCs w:val="20"/>
          <w:color w:val="auto"/>
        </w:rPr>
      </w:pPr>
    </w:p>
    <w:p>
      <w:pPr>
        <w:ind w:right="100" w:firstLine="709"/>
        <w:spacing w:after="0" w:line="280" w:lineRule="auto"/>
        <w:rPr>
          <w:sz w:val="20"/>
          <w:szCs w:val="20"/>
          <w:color w:val="auto"/>
        </w:rPr>
      </w:pPr>
      <w:r>
        <w:rPr>
          <w:rFonts w:ascii="Arial" w:cs="Arial" w:eastAsia="Arial" w:hAnsi="Arial"/>
          <w:sz w:val="18"/>
          <w:szCs w:val="18"/>
          <w:color w:val="auto"/>
        </w:rPr>
        <w:t>Environmental Services direct revenues for the year ended December 31, 2023 increased $339.7 million from the comparable period in 2022 due to growth across our service offerings. Revenue from our Safety-Kleen branches' core service offerings increased $113.9 million as both demand and pricing increased for our containerized waste, parts washer and vacuum services. Revenue from our industrial services operations grew $107.9 million due to contributions from the acquisition of Thompson Industrial on March 31, 2023 coupled with growth of the legacy industrial service offerings. Technical services revenue increased $68.6 million with contributions across our portfolio of waste disposal services more than offsetting slightly lower utilization at our incinerators. Landfill volumes and pricing both increased in 2023 and pricing for our incineration benefitted 2023 as well. Utilization at our incinerators for 2023 was 84% as compared to 86% in the prior year due to unplanned outages for required maintenance and significant weather events earlier in 2023. Field and emergency response service revenues increased $34.6 million from 2022. The Canadian operations of the Environmental Services segment were negatively impacted by $18.5 million due to foreign currency translation.</w:t>
      </w:r>
    </w:p>
    <w:p>
      <w:pPr>
        <w:spacing w:after="0" w:line="9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Safety-Kleen Sustainability Solutions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80" w:type="dxa"/>
            <w:vAlign w:val="bottom"/>
          </w:tcPr>
          <w:p>
            <w:pPr>
              <w:spacing w:after="0"/>
              <w:rPr>
                <w:sz w:val="20"/>
                <w:szCs w:val="20"/>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2024 over 2023</w:t>
            </w:r>
          </w:p>
        </w:tc>
        <w:tc>
          <w:tcPr>
            <w:tcW w:w="1880" w:type="dxa"/>
            <w:vAlign w:val="bottom"/>
            <w:gridSpan w:val="3"/>
          </w:tcPr>
          <w:p>
            <w:pPr>
              <w:jc w:val="right"/>
              <w:ind w:right="371"/>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203"/>
        </w:trPr>
        <w:tc>
          <w:tcPr>
            <w:tcW w:w="2660" w:type="dxa"/>
            <w:vAlign w:val="bottom"/>
            <w:vMerge w:val="restart"/>
          </w:tcPr>
          <w:p>
            <w:pPr>
              <w:ind w:left="60"/>
              <w:spacing w:after="0"/>
              <w:rPr>
                <w:sz w:val="20"/>
                <w:szCs w:val="20"/>
                <w:color w:val="auto"/>
              </w:rPr>
            </w:pPr>
            <w:r>
              <w:rPr>
                <w:rFonts w:ascii="Arial" w:cs="Arial" w:eastAsia="Arial" w:hAnsi="Arial"/>
                <w:sz w:val="18"/>
                <w:szCs w:val="18"/>
                <w:color w:val="auto"/>
                <w:w w:val="91"/>
              </w:rPr>
              <w:t>(in thousands, except percentages)</w:t>
            </w:r>
          </w:p>
        </w:tc>
        <w:tc>
          <w:tcPr>
            <w:tcW w:w="80" w:type="dxa"/>
            <w:vAlign w:val="bottom"/>
            <w:vMerge w:val="restart"/>
          </w:tcPr>
          <w:p>
            <w:pPr>
              <w:spacing w:after="0"/>
              <w:rPr>
                <w:sz w:val="17"/>
                <w:szCs w:val="17"/>
                <w:color w:val="auto"/>
              </w:rPr>
            </w:pPr>
          </w:p>
        </w:tc>
        <w:tc>
          <w:tcPr>
            <w:tcW w:w="10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top w:val="single" w:sz="8" w:color="auto"/>
            </w:tcBorders>
            <w:vMerge w:val="restart"/>
          </w:tcPr>
          <w:p>
            <w:pPr>
              <w:spacing w:after="0"/>
              <w:rPr>
                <w:sz w:val="17"/>
                <w:szCs w:val="17"/>
                <w:color w:val="auto"/>
              </w:rPr>
            </w:pP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2023</w:t>
            </w:r>
          </w:p>
        </w:tc>
        <w:tc>
          <w:tcPr>
            <w:tcW w:w="60" w:type="dxa"/>
            <w:vAlign w:val="bottom"/>
            <w:tcBorders>
              <w:top w:val="single" w:sz="8" w:color="auto"/>
            </w:tcBorders>
            <w:vMerge w:val="restart"/>
          </w:tcPr>
          <w:p>
            <w:pPr>
              <w:spacing w:after="0"/>
              <w:rPr>
                <w:sz w:val="17"/>
                <w:szCs w:val="17"/>
                <w:color w:val="auto"/>
              </w:rPr>
            </w:pPr>
          </w:p>
        </w:tc>
        <w:tc>
          <w:tcPr>
            <w:tcW w:w="1000" w:type="dxa"/>
            <w:vAlign w:val="bottom"/>
            <w:tcBorders>
              <w:top w:val="single" w:sz="8" w:color="auto"/>
            </w:tcBorders>
            <w:vMerge w:val="restart"/>
          </w:tcPr>
          <w:p>
            <w:pPr>
              <w:jc w:val="right"/>
              <w:ind w:right="23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060" w:type="dxa"/>
            <w:vAlign w:val="bottom"/>
            <w:tcBorders>
              <w:top w:val="single" w:sz="8" w:color="auto"/>
            </w:tcBorders>
            <w:gridSpan w:val="2"/>
          </w:tcPr>
          <w:p>
            <w:pPr>
              <w:jc w:val="right"/>
              <w:ind w:right="311"/>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8"/>
                <w:szCs w:val="18"/>
                <w:b w:val="1"/>
                <w:bCs w:val="1"/>
                <w:color w:val="auto"/>
                <w:w w:val="87"/>
              </w:rPr>
              <w:t>Change</w:t>
            </w:r>
          </w:p>
        </w:tc>
        <w:tc>
          <w:tcPr>
            <w:tcW w:w="1080" w:type="dxa"/>
            <w:vAlign w:val="bottom"/>
            <w:tcBorders>
              <w:top w:val="single" w:sz="8" w:color="auto"/>
            </w:tcBorders>
            <w:gridSpan w:val="2"/>
          </w:tcPr>
          <w:p>
            <w:pPr>
              <w:jc w:val="right"/>
              <w:ind w:right="331"/>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1"/>
        </w:trPr>
        <w:tc>
          <w:tcPr>
            <w:tcW w:w="274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Direct revenues</w:t>
            </w:r>
          </w:p>
        </w:tc>
        <w:tc>
          <w:tcPr>
            <w:tcW w:w="1000" w:type="dxa"/>
            <w:vAlign w:val="bottom"/>
            <w:shd w:val="clear" w:color="auto" w:fill="E6E6E6"/>
          </w:tcPr>
          <w:p>
            <w:pPr>
              <w:jc w:val="right"/>
              <w:ind w:right="8"/>
              <w:spacing w:after="0"/>
              <w:rPr>
                <w:sz w:val="20"/>
                <w:szCs w:val="20"/>
                <w:color w:val="auto"/>
              </w:rPr>
            </w:pPr>
            <w:r>
              <w:rPr>
                <w:rFonts w:ascii="Arial" w:cs="Arial" w:eastAsia="Arial" w:hAnsi="Arial"/>
                <w:sz w:val="20"/>
                <w:szCs w:val="20"/>
                <w:color w:val="auto"/>
                <w:w w:val="98"/>
              </w:rPr>
              <w:t>$ 884,798</w:t>
            </w:r>
          </w:p>
        </w:tc>
        <w:tc>
          <w:tcPr>
            <w:tcW w:w="106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96"/>
              </w:rPr>
              <w:t>$ 897,263</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$ 994,392</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  (12,465)</w:t>
            </w:r>
          </w:p>
        </w:tc>
        <w:tc>
          <w:tcPr>
            <w:tcW w:w="1320" w:type="dxa"/>
            <w:vAlign w:val="bottom"/>
            <w:gridSpan w:val="4"/>
            <w:shd w:val="clear" w:color="auto" w:fill="E6E6E6"/>
          </w:tcPr>
          <w:p>
            <w:pPr>
              <w:jc w:val="right"/>
              <w:ind w:right="40"/>
              <w:spacing w:after="0"/>
              <w:rPr>
                <w:sz w:val="20"/>
                <w:szCs w:val="20"/>
                <w:color w:val="auto"/>
              </w:rPr>
            </w:pPr>
            <w:r>
              <w:rPr>
                <w:rFonts w:ascii="Arial" w:cs="Arial" w:eastAsia="Arial" w:hAnsi="Arial"/>
                <w:sz w:val="20"/>
                <w:szCs w:val="20"/>
                <w:color w:val="auto"/>
              </w:rPr>
              <w:t>(1.4)%  $</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(97,129)</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right="20" w:firstLine="709"/>
        <w:spacing w:after="0" w:line="264" w:lineRule="auto"/>
        <w:rPr>
          <w:sz w:val="20"/>
          <w:szCs w:val="20"/>
          <w:color w:val="auto"/>
        </w:rPr>
      </w:pPr>
      <w:r>
        <w:rPr>
          <w:rFonts w:ascii="Arial" w:cs="Arial" w:eastAsia="Arial" w:hAnsi="Arial"/>
          <w:sz w:val="19"/>
          <w:szCs w:val="19"/>
          <w:color w:val="auto"/>
        </w:rPr>
        <w:t>SKSS direct revenues for the year ended December 31, 2024 decreased $12.5 million from the comparable period in 2023 largely due to a reduction in revenues from base oil and blended oil sales of $33.5 million and $17.8 million, respectively, driven by lower pricing and to a lesser extent, lower volumes sold. Revenues from contract packaging services decreased $11.1 million and revenues generated from the sale of other products decreased $5.3 million when compared with the prior year. Revenues from the sale of vacuum gas oil and specialty refinery products increased $46.8 million as the revenues generated from the Noble operations, acquired in March 2024, more than offset decreases in these product sales from the legacy business. Overall, the operations of Noble added approximately $70 million of direct revenues to the SKSS segment in 2024, the majority coming from the sale of vacuum gas oil and specialty refinery products. Revenues from the collection of used oil also increased $5.7 million. The Canadian operations of the SKSS segment were negatively impacted by $1.6 million in 2024 due to foreign currency translation.</w:t>
      </w:r>
    </w:p>
    <w:p>
      <w:pPr>
        <w:sectPr>
          <w:pgSz w:w="11880" w:h="15480" w:orient="portrait"/>
          <w:cols w:equalWidth="0" w:num="1">
            <w:col w:w="10120"/>
          </w:cols>
          <w:pgMar w:left="880" w:top="567" w:right="88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880" w:h="15480" w:orient="portrait"/>
          <w:cols w:equalWidth="0" w:num="1">
            <w:col w:w="10120"/>
          </w:cols>
          <w:pgMar w:left="880" w:top="567" w:right="880" w:bottom="0" w:gutter="0" w:footer="0" w:header="0"/>
          <w:type w:val="continuous"/>
        </w:sectPr>
      </w:pPr>
    </w:p>
    <w:bookmarkStart w:id="41" w:name="page42"/>
    <w:bookmarkEnd w:id="41"/>
    <w:p>
      <w:pPr>
        <w:ind w:right="240" w:firstLine="709"/>
        <w:spacing w:after="0" w:line="308" w:lineRule="auto"/>
        <w:rPr>
          <w:sz w:val="20"/>
          <w:szCs w:val="20"/>
          <w:color w:val="auto"/>
        </w:rPr>
      </w:pPr>
      <w:r>
        <w:rPr>
          <w:rFonts w:ascii="Arial" w:cs="Arial" w:eastAsia="Arial" w:hAnsi="Arial"/>
          <w:sz w:val="16"/>
          <w:szCs w:val="16"/>
          <w:color w:val="auto"/>
        </w:rPr>
        <w:t>SKSS direct revenues for the year ended December 31, 2023 decreased $97.1 million from the comparable period in 2022. Base oil sales revenues decreased $97.6 million due to lower pricing despite an 8% increase in the volume sold during</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2023. Revenues from contract packaging also decreased $18.0 million and revenues from recycled fuel oil and refinery byproducts decreased $12.2 million. Blended oil sales revenues increased $19.5 million, a 23% increase in gallons sold, which offset the lower pricing of these products. Revenues from the collection of used oil increased $14.1 million driven by higher pricing for these services. The Canadian operations of the SKSS segment were negatively impacted by $4.8 million in 2023 due to foreign currency translation.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Revenues</w:t>
      </w:r>
    </w:p>
    <w:p>
      <w:pPr>
        <w:spacing w:after="0" w:line="172" w:lineRule="exact"/>
        <w:rPr>
          <w:sz w:val="20"/>
          <w:szCs w:val="20"/>
          <w:color w:val="auto"/>
        </w:rPr>
      </w:pPr>
    </w:p>
    <w:p>
      <w:pPr>
        <w:ind w:right="140" w:firstLine="709"/>
        <w:spacing w:after="0" w:line="270" w:lineRule="auto"/>
        <w:rPr>
          <w:sz w:val="20"/>
          <w:szCs w:val="20"/>
          <w:color w:val="auto"/>
        </w:rPr>
      </w:pPr>
      <w:r>
        <w:rPr>
          <w:rFonts w:ascii="Arial" w:cs="Arial" w:eastAsia="Arial" w:hAnsi="Arial"/>
          <w:sz w:val="19"/>
          <w:szCs w:val="19"/>
          <w:color w:val="auto"/>
        </w:rPr>
        <w:t>We believe that management of operating costs is vital to our ability to remain price competitive. We continue to experience inflationary pressures across several cost categories, but most notably related to transportation, energy related costs and internal and external labor costs. We aim to manage these increases through constant cost monitoring and a focus on cost saving areas, including lowering employee turnover, as well as our overall customer pricing strategies designed to offset the negative inflationary impacts on our margins.</w:t>
      </w:r>
    </w:p>
    <w:p>
      <w:pPr>
        <w:spacing w:after="0" w:line="111" w:lineRule="exact"/>
        <w:rPr>
          <w:sz w:val="20"/>
          <w:szCs w:val="20"/>
          <w:color w:val="auto"/>
        </w:rPr>
      </w:pPr>
    </w:p>
    <w:p>
      <w:pPr>
        <w:ind w:right="100" w:firstLine="709"/>
        <w:spacing w:after="0" w:line="293" w:lineRule="auto"/>
        <w:rPr>
          <w:sz w:val="20"/>
          <w:szCs w:val="20"/>
          <w:color w:val="auto"/>
        </w:rPr>
      </w:pPr>
      <w:r>
        <w:rPr>
          <w:rFonts w:ascii="Arial" w:cs="Arial" w:eastAsia="Arial" w:hAnsi="Arial"/>
          <w:sz w:val="18"/>
          <w:szCs w:val="18"/>
          <w:color w:val="auto"/>
        </w:rPr>
        <w:t>We continue to upgrade the quality and efficiency of our services through the development of new technology and continued modifications and expansion at our facilities while also leveraging certain fixed costs of our operating infrastructure. We invest in new business opportunities and aggressively implement strategic sourcing and logistics solutions, while also continuing to optimize our management and operating structure in an effort to manage our operating margins.</w:t>
      </w:r>
    </w:p>
    <w:p>
      <w:pPr>
        <w:spacing w:after="0" w:line="8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Environmental Services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8"/>
                <w:szCs w:val="18"/>
                <w:b w:val="1"/>
                <w:bCs w:val="1"/>
                <w:color w:val="auto"/>
                <w:w w:val="96"/>
              </w:rPr>
              <w:t>For the years ended December 31,</w:t>
            </w:r>
          </w:p>
        </w:tc>
        <w:tc>
          <w:tcPr>
            <w:tcW w:w="8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b w:val="1"/>
                <w:bCs w:val="1"/>
                <w:color w:val="auto"/>
              </w:rPr>
              <w:t>2024 over 2023</w:t>
            </w:r>
          </w:p>
        </w:tc>
        <w:tc>
          <w:tcPr>
            <w:tcW w:w="8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203"/>
        </w:trPr>
        <w:tc>
          <w:tcPr>
            <w:tcW w:w="2660" w:type="dxa"/>
            <w:vAlign w:val="bottom"/>
            <w:vMerge w:val="restart"/>
          </w:tcPr>
          <w:p>
            <w:pPr>
              <w:ind w:left="60"/>
              <w:spacing w:after="0"/>
              <w:rPr>
                <w:sz w:val="20"/>
                <w:szCs w:val="20"/>
                <w:color w:val="auto"/>
              </w:rPr>
            </w:pPr>
            <w:r>
              <w:rPr>
                <w:rFonts w:ascii="Arial" w:cs="Arial" w:eastAsia="Arial" w:hAnsi="Arial"/>
                <w:sz w:val="18"/>
                <w:szCs w:val="18"/>
                <w:color w:val="auto"/>
                <w:w w:val="91"/>
              </w:rPr>
              <w:t>(in thousands, except percentages)</w:t>
            </w:r>
          </w:p>
        </w:tc>
        <w:tc>
          <w:tcPr>
            <w:tcW w:w="80" w:type="dxa"/>
            <w:vAlign w:val="bottom"/>
            <w:vMerge w:val="restart"/>
          </w:tcPr>
          <w:p>
            <w:pPr>
              <w:spacing w:after="0"/>
              <w:rPr>
                <w:sz w:val="17"/>
                <w:szCs w:val="17"/>
                <w:color w:val="auto"/>
              </w:rPr>
            </w:pPr>
          </w:p>
        </w:tc>
        <w:tc>
          <w:tcPr>
            <w:tcW w:w="1000" w:type="dxa"/>
            <w:vAlign w:val="bottom"/>
            <w:vMerge w:val="restart"/>
          </w:tcPr>
          <w:p>
            <w:pPr>
              <w:jc w:val="right"/>
              <w:ind w:right="226"/>
              <w:spacing w:after="0"/>
              <w:rPr>
                <w:sz w:val="20"/>
                <w:szCs w:val="20"/>
                <w:color w:val="auto"/>
              </w:rPr>
            </w:pPr>
            <w:r>
              <w:rPr>
                <w:rFonts w:ascii="Arial" w:cs="Arial" w:eastAsia="Arial" w:hAnsi="Arial"/>
                <w:sz w:val="18"/>
                <w:szCs w:val="18"/>
                <w:b w:val="1"/>
                <w:bCs w:val="1"/>
                <w:color w:val="auto"/>
              </w:rPr>
              <w:t>2024</w:t>
            </w:r>
          </w:p>
        </w:tc>
        <w:tc>
          <w:tcPr>
            <w:tcW w:w="60" w:type="dxa"/>
            <w:vAlign w:val="bottom"/>
            <w:vMerge w:val="restart"/>
          </w:tcPr>
          <w:p>
            <w:pPr>
              <w:spacing w:after="0"/>
              <w:rPr>
                <w:sz w:val="17"/>
                <w:szCs w:val="17"/>
                <w:color w:val="auto"/>
              </w:rPr>
            </w:pPr>
          </w:p>
        </w:tc>
        <w:tc>
          <w:tcPr>
            <w:tcW w:w="100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2023</w:t>
            </w:r>
          </w:p>
        </w:tc>
        <w:tc>
          <w:tcPr>
            <w:tcW w:w="60" w:type="dxa"/>
            <w:vAlign w:val="bottom"/>
            <w:vMerge w:val="restart"/>
          </w:tcPr>
          <w:p>
            <w:pPr>
              <w:spacing w:after="0"/>
              <w:rPr>
                <w:sz w:val="17"/>
                <w:szCs w:val="17"/>
                <w:color w:val="auto"/>
              </w:rPr>
            </w:pPr>
          </w:p>
        </w:tc>
        <w:tc>
          <w:tcPr>
            <w:tcW w:w="100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jc w:val="right"/>
              <w:ind w:right="311"/>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Change</w:t>
            </w:r>
          </w:p>
        </w:tc>
        <w:tc>
          <w:tcPr>
            <w:tcW w:w="1080" w:type="dxa"/>
            <w:vAlign w:val="bottom"/>
            <w:gridSpan w:val="2"/>
          </w:tcPr>
          <w:p>
            <w:pPr>
              <w:jc w:val="right"/>
              <w:ind w:right="331"/>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1"/>
        </w:trPr>
        <w:tc>
          <w:tcPr>
            <w:tcW w:w="274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Cost of revenues</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1"/>
              </w:rPr>
              <w:t>$3,366,022</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w w:val="97"/>
              </w:rPr>
              <w:t>$3,063,043</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w w:val="97"/>
              </w:rPr>
              <w:t>$2,902,979</w:t>
            </w:r>
          </w:p>
        </w:tc>
        <w:tc>
          <w:tcPr>
            <w:tcW w:w="1060" w:type="dxa"/>
            <w:vAlign w:val="bottom"/>
            <w:gridSpan w:val="2"/>
            <w:shd w:val="clear" w:color="auto" w:fill="E6E6E6"/>
          </w:tcPr>
          <w:p>
            <w:pPr>
              <w:jc w:val="right"/>
              <w:ind w:right="51"/>
              <w:spacing w:after="0"/>
              <w:rPr>
                <w:sz w:val="20"/>
                <w:szCs w:val="20"/>
                <w:color w:val="auto"/>
              </w:rPr>
            </w:pPr>
            <w:r>
              <w:rPr>
                <w:rFonts w:ascii="Arial" w:cs="Arial" w:eastAsia="Arial" w:hAnsi="Arial"/>
                <w:sz w:val="20"/>
                <w:szCs w:val="20"/>
                <w:color w:val="auto"/>
              </w:rPr>
              <w:t>$ 302,979</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9.9 %</w:t>
            </w:r>
          </w:p>
        </w:tc>
        <w:tc>
          <w:tcPr>
            <w:tcW w:w="1060" w:type="dxa"/>
            <w:vAlign w:val="bottom"/>
            <w:gridSpan w:val="2"/>
            <w:shd w:val="clear" w:color="auto" w:fill="E6E6E6"/>
          </w:tcPr>
          <w:p>
            <w:pPr>
              <w:jc w:val="right"/>
              <w:ind w:right="111"/>
              <w:spacing w:after="0"/>
              <w:rPr>
                <w:sz w:val="20"/>
                <w:szCs w:val="20"/>
                <w:color w:val="auto"/>
              </w:rPr>
            </w:pPr>
            <w:r>
              <w:rPr>
                <w:rFonts w:ascii="Arial" w:cs="Arial" w:eastAsia="Arial" w:hAnsi="Arial"/>
                <w:sz w:val="20"/>
                <w:szCs w:val="20"/>
                <w:color w:val="auto"/>
              </w:rPr>
              <w:t>$160,064</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5.5 %</w:t>
            </w:r>
          </w:p>
        </w:tc>
        <w:tc>
          <w:tcPr>
            <w:tcW w:w="0" w:type="dxa"/>
            <w:vAlign w:val="bottom"/>
          </w:tcPr>
          <w:p>
            <w:pPr>
              <w:spacing w:after="0"/>
              <w:rPr>
                <w:sz w:val="1"/>
                <w:szCs w:val="1"/>
                <w:color w:val="auto"/>
              </w:rPr>
            </w:pPr>
          </w:p>
        </w:tc>
      </w:tr>
      <w:tr>
        <w:trPr>
          <w:trHeight w:val="269"/>
        </w:trPr>
        <w:tc>
          <w:tcPr>
            <w:tcW w:w="2740" w:type="dxa"/>
            <w:vAlign w:val="bottom"/>
            <w:gridSpan w:val="2"/>
          </w:tcPr>
          <w:p>
            <w:pPr>
              <w:ind w:left="60"/>
              <w:spacing w:after="0"/>
              <w:rPr>
                <w:sz w:val="20"/>
                <w:szCs w:val="20"/>
                <w:color w:val="auto"/>
              </w:rPr>
            </w:pPr>
            <w:r>
              <w:rPr>
                <w:rFonts w:ascii="Arial" w:cs="Arial" w:eastAsia="Arial" w:hAnsi="Arial"/>
                <w:sz w:val="20"/>
                <w:szCs w:val="20"/>
                <w:color w:val="auto"/>
              </w:rPr>
              <w:t>As a % of Direct revenues</w:t>
            </w:r>
          </w:p>
        </w:tc>
        <w:tc>
          <w:tcPr>
            <w:tcW w:w="1000" w:type="dxa"/>
            <w:vAlign w:val="bottom"/>
          </w:tcPr>
          <w:p>
            <w:pPr>
              <w:jc w:val="right"/>
              <w:spacing w:after="0"/>
              <w:rPr>
                <w:sz w:val="20"/>
                <w:szCs w:val="20"/>
                <w:color w:val="auto"/>
              </w:rPr>
            </w:pPr>
            <w:r>
              <w:rPr>
                <w:rFonts w:ascii="Arial" w:cs="Arial" w:eastAsia="Arial" w:hAnsi="Arial"/>
                <w:sz w:val="20"/>
                <w:szCs w:val="20"/>
                <w:color w:val="auto"/>
              </w:rPr>
              <w:t>67.3 %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67.9 %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69.6 %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(0.6)%</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80" w:firstLine="709"/>
        <w:spacing w:after="0" w:line="252" w:lineRule="auto"/>
        <w:rPr>
          <w:sz w:val="20"/>
          <w:szCs w:val="20"/>
          <w:color w:val="auto"/>
        </w:rPr>
      </w:pPr>
      <w:r>
        <w:rPr>
          <w:rFonts w:ascii="Arial" w:cs="Arial" w:eastAsia="Arial" w:hAnsi="Arial"/>
          <w:sz w:val="20"/>
          <w:szCs w:val="20"/>
          <w:color w:val="auto"/>
        </w:rPr>
        <w:t>Environmental Services cost of revenues for the year ended December 31, 2024 increased $303.0 million from the comparable period in 2023, while improving as a percentage of revenues. Overall, labor and benefit related costs increased $170.3 million, equipment and supply costs increased $95.2 million and external transportation, vehicle, and fuel costs increased $24.6 million. These cost increases were generally in line with the revenue growth in the business and the addition of the acquired operations in 2024. However better leverage of our costs and increases in revenues further improved our cost efficiency as a percentage of revenues.</w:t>
      </w:r>
    </w:p>
    <w:p>
      <w:pPr>
        <w:spacing w:after="0" w:line="127" w:lineRule="exact"/>
        <w:rPr>
          <w:sz w:val="20"/>
          <w:szCs w:val="20"/>
          <w:color w:val="auto"/>
        </w:rPr>
      </w:pPr>
    </w:p>
    <w:p>
      <w:pPr>
        <w:ind w:right="80" w:firstLine="709"/>
        <w:spacing w:after="0" w:line="289" w:lineRule="auto"/>
        <w:rPr>
          <w:sz w:val="20"/>
          <w:szCs w:val="20"/>
          <w:color w:val="auto"/>
        </w:rPr>
      </w:pPr>
      <w:r>
        <w:rPr>
          <w:rFonts w:ascii="Arial" w:cs="Arial" w:eastAsia="Arial" w:hAnsi="Arial"/>
          <w:sz w:val="18"/>
          <w:szCs w:val="18"/>
          <w:color w:val="auto"/>
        </w:rPr>
        <w:t>Environmental Services cost of revenues for the year ended December 31, 2023 increased $160.1 million from the comparable period in 2022, but as a percentage of revenues, these costs improved 1.7%. Overall, labor and benefit related costs increased $126.1 million, equipment and supply costs increased $23.4 million and external transportation, vehicle and fuel related costs increased $6.8 million. These cost increases were generally commensurate with the revenue growth in the business, however better leverage of our costs drove the cost improvement as a percentage of revenues.</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Safety-Kleen Sustainability Solutions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8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b w:val="1"/>
                <w:bCs w:val="1"/>
                <w:color w:val="auto"/>
              </w:rPr>
              <w:t>2024 over 2023</w:t>
            </w:r>
          </w:p>
        </w:tc>
        <w:tc>
          <w:tcPr>
            <w:tcW w:w="6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203"/>
        </w:trPr>
        <w:tc>
          <w:tcPr>
            <w:tcW w:w="2600" w:type="dxa"/>
            <w:vAlign w:val="bottom"/>
            <w:vMerge w:val="restart"/>
          </w:tcPr>
          <w:p>
            <w:pPr>
              <w:ind w:left="40"/>
              <w:spacing w:after="0"/>
              <w:rPr>
                <w:sz w:val="20"/>
                <w:szCs w:val="20"/>
                <w:color w:val="auto"/>
              </w:rPr>
            </w:pPr>
            <w:r>
              <w:rPr>
                <w:rFonts w:ascii="Arial" w:cs="Arial" w:eastAsia="Arial" w:hAnsi="Arial"/>
                <w:sz w:val="18"/>
                <w:szCs w:val="18"/>
                <w:color w:val="auto"/>
                <w:w w:val="90"/>
              </w:rPr>
              <w:t>(in thousands, except percentages)</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26"/>
              <w:spacing w:after="0"/>
              <w:rPr>
                <w:sz w:val="20"/>
                <w:szCs w:val="20"/>
                <w:color w:val="auto"/>
              </w:rPr>
            </w:pPr>
            <w:r>
              <w:rPr>
                <w:rFonts w:ascii="Arial" w:cs="Arial" w:eastAsia="Arial" w:hAnsi="Arial"/>
                <w:sz w:val="18"/>
                <w:szCs w:val="18"/>
                <w:b w:val="1"/>
                <w:bCs w:val="1"/>
                <w:color w:val="auto"/>
              </w:rPr>
              <w:t>2024</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2023</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100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jc w:val="right"/>
              <w:ind w:right="331"/>
              <w:spacing w:after="0" w:line="203"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100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jc w:val="right"/>
              <w:ind w:right="311"/>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6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Borders>
              <w:bottom w:val="single" w:sz="8" w:color="E6E6E6"/>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1"/>
        </w:trPr>
        <w:tc>
          <w:tcPr>
            <w:tcW w:w="268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Cost of revenues</w:t>
            </w:r>
          </w:p>
        </w:tc>
        <w:tc>
          <w:tcPr>
            <w:tcW w:w="980" w:type="dxa"/>
            <w:vAlign w:val="bottom"/>
            <w:shd w:val="clear" w:color="auto" w:fill="E6E6E6"/>
          </w:tcPr>
          <w:p>
            <w:pPr>
              <w:jc w:val="right"/>
              <w:ind w:right="46"/>
              <w:spacing w:after="0"/>
              <w:rPr>
                <w:sz w:val="20"/>
                <w:szCs w:val="20"/>
                <w:color w:val="auto"/>
              </w:rPr>
            </w:pPr>
            <w:r>
              <w:rPr>
                <w:rFonts w:ascii="Arial" w:cs="Arial" w:eastAsia="Arial" w:hAnsi="Arial"/>
                <w:sz w:val="20"/>
                <w:szCs w:val="20"/>
                <w:color w:val="auto"/>
                <w:w w:val="92"/>
              </w:rPr>
              <w:t>$ 659,217</w:t>
            </w:r>
          </w:p>
        </w:tc>
        <w:tc>
          <w:tcPr>
            <w:tcW w:w="1060" w:type="dxa"/>
            <w:vAlign w:val="bottom"/>
            <w:gridSpan w:val="2"/>
            <w:shd w:val="clear" w:color="auto" w:fill="E6E6E6"/>
          </w:tcPr>
          <w:p>
            <w:pPr>
              <w:jc w:val="right"/>
              <w:ind w:right="31"/>
              <w:spacing w:after="0"/>
              <w:rPr>
                <w:sz w:val="20"/>
                <w:szCs w:val="20"/>
                <w:color w:val="auto"/>
              </w:rPr>
            </w:pPr>
            <w:r>
              <w:rPr>
                <w:rFonts w:ascii="Arial" w:cs="Arial" w:eastAsia="Arial" w:hAnsi="Arial"/>
                <w:sz w:val="20"/>
                <w:szCs w:val="20"/>
                <w:color w:val="auto"/>
              </w:rPr>
              <w:t>$ 646,301</w:t>
            </w:r>
          </w:p>
        </w:tc>
        <w:tc>
          <w:tcPr>
            <w:tcW w:w="1060" w:type="dxa"/>
            <w:vAlign w:val="bottom"/>
            <w:gridSpan w:val="2"/>
            <w:shd w:val="clear" w:color="auto" w:fill="E6E6E6"/>
          </w:tcPr>
          <w:p>
            <w:pPr>
              <w:jc w:val="right"/>
              <w:ind w:right="31"/>
              <w:spacing w:after="0"/>
              <w:rPr>
                <w:sz w:val="20"/>
                <w:szCs w:val="20"/>
                <w:color w:val="auto"/>
              </w:rPr>
            </w:pPr>
            <w:r>
              <w:rPr>
                <w:rFonts w:ascii="Arial" w:cs="Arial" w:eastAsia="Arial" w:hAnsi="Arial"/>
                <w:sz w:val="20"/>
                <w:szCs w:val="20"/>
                <w:color w:val="auto"/>
              </w:rPr>
              <w:t>$ 615,303</w:t>
            </w:r>
          </w:p>
        </w:tc>
        <w:tc>
          <w:tcPr>
            <w:tcW w:w="1080" w:type="dxa"/>
            <w:vAlign w:val="bottom"/>
            <w:gridSpan w:val="2"/>
            <w:shd w:val="clear" w:color="auto" w:fill="E6E6E6"/>
          </w:tcPr>
          <w:p>
            <w:pPr>
              <w:jc w:val="right"/>
              <w:ind w:right="171"/>
              <w:spacing w:after="0"/>
              <w:rPr>
                <w:sz w:val="20"/>
                <w:szCs w:val="20"/>
                <w:color w:val="auto"/>
              </w:rPr>
            </w:pPr>
            <w:r>
              <w:rPr>
                <w:rFonts w:ascii="Arial" w:cs="Arial" w:eastAsia="Arial" w:hAnsi="Arial"/>
                <w:sz w:val="20"/>
                <w:szCs w:val="20"/>
                <w:color w:val="auto"/>
              </w:rPr>
              <w:t>$ 12,916</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2.0 %</w:t>
            </w:r>
          </w:p>
        </w:tc>
        <w:tc>
          <w:tcPr>
            <w:tcW w:w="1060" w:type="dxa"/>
            <w:vAlign w:val="bottom"/>
            <w:gridSpan w:val="2"/>
            <w:shd w:val="clear" w:color="auto" w:fill="E6E6E6"/>
          </w:tcPr>
          <w:p>
            <w:pPr>
              <w:jc w:val="right"/>
              <w:ind w:right="171"/>
              <w:spacing w:after="0"/>
              <w:rPr>
                <w:sz w:val="20"/>
                <w:szCs w:val="20"/>
                <w:color w:val="auto"/>
              </w:rPr>
            </w:pPr>
            <w:r>
              <w:rPr>
                <w:rFonts w:ascii="Arial" w:cs="Arial" w:eastAsia="Arial" w:hAnsi="Arial"/>
                <w:sz w:val="20"/>
                <w:szCs w:val="20"/>
                <w:color w:val="auto"/>
              </w:rPr>
              <w:t>$ 30,998</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5.0 %</w:t>
            </w:r>
          </w:p>
        </w:tc>
        <w:tc>
          <w:tcPr>
            <w:tcW w:w="0" w:type="dxa"/>
            <w:vAlign w:val="bottom"/>
          </w:tcPr>
          <w:p>
            <w:pPr>
              <w:spacing w:after="0"/>
              <w:rPr>
                <w:sz w:val="1"/>
                <w:szCs w:val="1"/>
                <w:color w:val="auto"/>
              </w:rPr>
            </w:pPr>
          </w:p>
        </w:tc>
      </w:tr>
      <w:tr>
        <w:trPr>
          <w:trHeight w:val="269"/>
        </w:trPr>
        <w:tc>
          <w:tcPr>
            <w:tcW w:w="2680" w:type="dxa"/>
            <w:vAlign w:val="bottom"/>
            <w:gridSpan w:val="2"/>
          </w:tcPr>
          <w:p>
            <w:pPr>
              <w:ind w:left="40"/>
              <w:spacing w:after="0"/>
              <w:rPr>
                <w:sz w:val="20"/>
                <w:szCs w:val="20"/>
                <w:color w:val="auto"/>
              </w:rPr>
            </w:pPr>
            <w:r>
              <w:rPr>
                <w:rFonts w:ascii="Arial" w:cs="Arial" w:eastAsia="Arial" w:hAnsi="Arial"/>
                <w:sz w:val="20"/>
                <w:szCs w:val="20"/>
                <w:color w:val="auto"/>
              </w:rPr>
              <w:t>As a % of Direct revenues</w:t>
            </w:r>
          </w:p>
        </w:tc>
        <w:tc>
          <w:tcPr>
            <w:tcW w:w="980" w:type="dxa"/>
            <w:vAlign w:val="bottom"/>
          </w:tcPr>
          <w:p>
            <w:pPr>
              <w:jc w:val="right"/>
              <w:spacing w:after="0"/>
              <w:rPr>
                <w:sz w:val="20"/>
                <w:szCs w:val="20"/>
                <w:color w:val="auto"/>
              </w:rPr>
            </w:pPr>
            <w:r>
              <w:rPr>
                <w:rFonts w:ascii="Arial" w:cs="Arial" w:eastAsia="Arial" w:hAnsi="Arial"/>
                <w:sz w:val="20"/>
                <w:szCs w:val="20"/>
                <w:color w:val="auto"/>
              </w:rPr>
              <w:t>74.5 %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72.0 %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61.9 %</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2.5 %</w:t>
            </w: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10.1 %</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40" w:firstLine="709"/>
        <w:spacing w:after="0" w:line="332" w:lineRule="auto"/>
        <w:rPr>
          <w:sz w:val="20"/>
          <w:szCs w:val="20"/>
          <w:color w:val="auto"/>
        </w:rPr>
      </w:pPr>
      <w:r>
        <w:rPr>
          <w:rFonts w:ascii="Arial" w:cs="Arial" w:eastAsia="Arial" w:hAnsi="Arial"/>
          <w:sz w:val="16"/>
          <w:szCs w:val="16"/>
          <w:color w:val="auto"/>
        </w:rPr>
        <w:t>SKSS cost of revenues for the year ended December 31, 2024 increased $12.9 million from 2023 and as a percentage of revenues, these costs increased 2.5%. The cost increase is due to additional expenses from the Noble operations, which were partially offset by reduced costs resulting from the lower revenue volumes noted above. Total cost of revenues as a percentage of direct revenues increased primarily due to the market related pricing decreases discussed in the revenue section, higher cost per gallon of base oil products sold and the overall mix of products and services sold during 2024 as compared to the prior year.</w:t>
      </w:r>
    </w:p>
    <w:p>
      <w:pPr>
        <w:spacing w:after="0" w:line="67" w:lineRule="exact"/>
        <w:rPr>
          <w:sz w:val="20"/>
          <w:szCs w:val="20"/>
          <w:color w:val="auto"/>
        </w:rPr>
      </w:pPr>
    </w:p>
    <w:p>
      <w:pPr>
        <w:ind w:right="180" w:firstLine="709"/>
        <w:spacing w:after="0" w:line="268" w:lineRule="auto"/>
        <w:rPr>
          <w:sz w:val="20"/>
          <w:szCs w:val="20"/>
          <w:color w:val="auto"/>
        </w:rPr>
      </w:pPr>
      <w:r>
        <w:rPr>
          <w:rFonts w:ascii="Arial" w:cs="Arial" w:eastAsia="Arial" w:hAnsi="Arial"/>
          <w:sz w:val="19"/>
          <w:szCs w:val="19"/>
          <w:color w:val="auto"/>
        </w:rPr>
        <w:t>SKSS cost of revenues for the year ended December 31, 2023 increased $31.0 million from the comparable period in 2022 and as a percentage of revenues, these costs increased 10.1%, mainly driven by the reduced revenue discussed above. Overall, external transportation, rail, vehicle and fuel costs increased $23.5 million, labor and benefit related costs increased $11.8 million and equipment and supply costs increased $5.5 million. Cost of materials, including oil additives and other raw materials decreased by $16.2 million mainly driven by a lower cost of obtaining used oil through our oil collection services. The remaining cost spread across various cost categories.</w:t>
      </w:r>
    </w:p>
    <w:p>
      <w:pPr>
        <w:sectPr>
          <w:pgSz w:w="11880" w:h="15480" w:orient="portrait"/>
          <w:cols w:equalWidth="0" w:num="1">
            <w:col w:w="10120"/>
          </w:cols>
          <w:pgMar w:left="880" w:top="575" w:right="88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880" w:h="15480" w:orient="portrait"/>
          <w:cols w:equalWidth="0" w:num="1">
            <w:col w:w="10120"/>
          </w:cols>
          <w:pgMar w:left="880" w:top="575" w:right="880" w:bottom="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172" w:lineRule="exact"/>
        <w:rPr>
          <w:sz w:val="20"/>
          <w:szCs w:val="20"/>
          <w:color w:val="auto"/>
        </w:rPr>
      </w:pPr>
    </w:p>
    <w:p>
      <w:pPr>
        <w:ind w:right="120" w:firstLine="709"/>
        <w:spacing w:after="0" w:line="322" w:lineRule="auto"/>
        <w:rPr>
          <w:sz w:val="20"/>
          <w:szCs w:val="20"/>
          <w:color w:val="auto"/>
        </w:rPr>
      </w:pPr>
      <w:r>
        <w:rPr>
          <w:rFonts w:ascii="Arial" w:cs="Arial" w:eastAsia="Arial" w:hAnsi="Arial"/>
          <w:sz w:val="16"/>
          <w:szCs w:val="16"/>
          <w:color w:val="auto"/>
        </w:rPr>
        <w:t>We aim to manage our selling, general and administrative ("SG&amp;A") expenses in line with the overall performance of our segments and corresponding revenue levels. This is achieved through enhanced technology, process improvements and strategic expense management. Expanding our support functions globally has led to both profitability and productivity improvements. We believe our ability to properly align these costs with business performance is reflective of our strong management of the businesses and further promotes our ability to remain competitive in the marketplace. The SG&amp;A balances in this section exclude stock-based compensation expense which is presented in SG&amp;A on the Company’s Consolidated Statement of Operations but is not included in the Company’s measurement of Adjusted EBITDA. For a discussion on significant changes in consolidated stock-based compensation expense, please refer to the separate section below.</w:t>
      </w:r>
    </w:p>
    <w:p>
      <w:pPr>
        <w:spacing w:after="0" w:line="71"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Environmental Services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8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b w:val="1"/>
                <w:bCs w:val="1"/>
                <w:color w:val="auto"/>
              </w:rPr>
              <w:t>2024 over 2023</w:t>
            </w:r>
          </w:p>
        </w:tc>
        <w:tc>
          <w:tcPr>
            <w:tcW w:w="8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203"/>
        </w:trPr>
        <w:tc>
          <w:tcPr>
            <w:tcW w:w="2660" w:type="dxa"/>
            <w:vAlign w:val="bottom"/>
            <w:vMerge w:val="restart"/>
          </w:tcPr>
          <w:p>
            <w:pPr>
              <w:ind w:left="60"/>
              <w:spacing w:after="0"/>
              <w:rPr>
                <w:sz w:val="20"/>
                <w:szCs w:val="20"/>
                <w:color w:val="auto"/>
              </w:rPr>
            </w:pPr>
            <w:r>
              <w:rPr>
                <w:rFonts w:ascii="Arial" w:cs="Arial" w:eastAsia="Arial" w:hAnsi="Arial"/>
                <w:sz w:val="18"/>
                <w:szCs w:val="18"/>
                <w:color w:val="auto"/>
                <w:w w:val="91"/>
              </w:rPr>
              <w:t>(in thousands, except percentages)</w:t>
            </w:r>
          </w:p>
        </w:tc>
        <w:tc>
          <w:tcPr>
            <w:tcW w:w="80" w:type="dxa"/>
            <w:vAlign w:val="bottom"/>
            <w:vMerge w:val="restart"/>
          </w:tcPr>
          <w:p>
            <w:pPr>
              <w:spacing w:after="0"/>
              <w:rPr>
                <w:sz w:val="17"/>
                <w:szCs w:val="17"/>
                <w:color w:val="auto"/>
              </w:rPr>
            </w:pPr>
          </w:p>
        </w:tc>
        <w:tc>
          <w:tcPr>
            <w:tcW w:w="1000" w:type="dxa"/>
            <w:vAlign w:val="bottom"/>
            <w:vMerge w:val="restart"/>
          </w:tcPr>
          <w:p>
            <w:pPr>
              <w:jc w:val="right"/>
              <w:ind w:right="226"/>
              <w:spacing w:after="0"/>
              <w:rPr>
                <w:sz w:val="20"/>
                <w:szCs w:val="20"/>
                <w:color w:val="auto"/>
              </w:rPr>
            </w:pPr>
            <w:r>
              <w:rPr>
                <w:rFonts w:ascii="Arial" w:cs="Arial" w:eastAsia="Arial" w:hAnsi="Arial"/>
                <w:sz w:val="18"/>
                <w:szCs w:val="18"/>
                <w:b w:val="1"/>
                <w:bCs w:val="1"/>
                <w:color w:val="auto"/>
              </w:rPr>
              <w:t>2024</w:t>
            </w:r>
          </w:p>
        </w:tc>
        <w:tc>
          <w:tcPr>
            <w:tcW w:w="60" w:type="dxa"/>
            <w:vAlign w:val="bottom"/>
            <w:vMerge w:val="restart"/>
          </w:tcPr>
          <w:p>
            <w:pPr>
              <w:spacing w:after="0"/>
              <w:rPr>
                <w:sz w:val="17"/>
                <w:szCs w:val="17"/>
                <w:color w:val="auto"/>
              </w:rPr>
            </w:pPr>
          </w:p>
        </w:tc>
        <w:tc>
          <w:tcPr>
            <w:tcW w:w="100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2023</w:t>
            </w:r>
          </w:p>
        </w:tc>
        <w:tc>
          <w:tcPr>
            <w:tcW w:w="60" w:type="dxa"/>
            <w:vAlign w:val="bottom"/>
            <w:vMerge w:val="restart"/>
          </w:tcPr>
          <w:p>
            <w:pPr>
              <w:spacing w:after="0"/>
              <w:rPr>
                <w:sz w:val="17"/>
                <w:szCs w:val="17"/>
                <w:color w:val="auto"/>
              </w:rPr>
            </w:pPr>
          </w:p>
        </w:tc>
        <w:tc>
          <w:tcPr>
            <w:tcW w:w="100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2"/>
          </w:tcPr>
          <w:p>
            <w:pPr>
              <w:jc w:val="right"/>
              <w:ind w:right="311"/>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Change</w:t>
            </w:r>
          </w:p>
        </w:tc>
        <w:tc>
          <w:tcPr>
            <w:tcW w:w="1080" w:type="dxa"/>
            <w:vAlign w:val="bottom"/>
            <w:gridSpan w:val="2"/>
          </w:tcPr>
          <w:p>
            <w:pPr>
              <w:jc w:val="right"/>
              <w:ind w:right="331"/>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1"/>
        </w:trPr>
        <w:tc>
          <w:tcPr>
            <w:tcW w:w="274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SG&amp;A expenses</w:t>
            </w:r>
          </w:p>
        </w:tc>
        <w:tc>
          <w:tcPr>
            <w:tcW w:w="1000" w:type="dxa"/>
            <w:vAlign w:val="bottom"/>
            <w:shd w:val="clear" w:color="auto" w:fill="E6E6E6"/>
          </w:tcPr>
          <w:p>
            <w:pPr>
              <w:jc w:val="right"/>
              <w:ind w:right="106"/>
              <w:spacing w:after="0"/>
              <w:rPr>
                <w:sz w:val="20"/>
                <w:szCs w:val="20"/>
                <w:color w:val="auto"/>
              </w:rPr>
            </w:pPr>
            <w:r>
              <w:rPr>
                <w:rFonts w:ascii="Arial" w:cs="Arial" w:eastAsia="Arial" w:hAnsi="Arial"/>
                <w:sz w:val="20"/>
                <w:szCs w:val="20"/>
                <w:color w:val="auto"/>
                <w:w w:val="93"/>
              </w:rPr>
              <w:t>$371,263</w:t>
            </w:r>
          </w:p>
        </w:tc>
        <w:tc>
          <w:tcPr>
            <w:tcW w:w="1060" w:type="dxa"/>
            <w:vAlign w:val="bottom"/>
            <w:gridSpan w:val="2"/>
            <w:shd w:val="clear" w:color="auto" w:fill="E6E6E6"/>
          </w:tcPr>
          <w:p>
            <w:pPr>
              <w:jc w:val="right"/>
              <w:ind w:right="111"/>
              <w:spacing w:after="0"/>
              <w:rPr>
                <w:sz w:val="20"/>
                <w:szCs w:val="20"/>
                <w:color w:val="auto"/>
              </w:rPr>
            </w:pPr>
            <w:r>
              <w:rPr>
                <w:rFonts w:ascii="Arial" w:cs="Arial" w:eastAsia="Arial" w:hAnsi="Arial"/>
                <w:sz w:val="20"/>
                <w:szCs w:val="20"/>
                <w:color w:val="auto"/>
              </w:rPr>
              <w:t>$346,791</w:t>
            </w:r>
          </w:p>
        </w:tc>
        <w:tc>
          <w:tcPr>
            <w:tcW w:w="1060" w:type="dxa"/>
            <w:vAlign w:val="bottom"/>
            <w:gridSpan w:val="2"/>
            <w:shd w:val="clear" w:color="auto" w:fill="E6E6E6"/>
          </w:tcPr>
          <w:p>
            <w:pPr>
              <w:jc w:val="right"/>
              <w:ind w:right="111"/>
              <w:spacing w:after="0"/>
              <w:rPr>
                <w:sz w:val="20"/>
                <w:szCs w:val="20"/>
                <w:color w:val="auto"/>
              </w:rPr>
            </w:pPr>
            <w:r>
              <w:rPr>
                <w:rFonts w:ascii="Arial" w:cs="Arial" w:eastAsia="Arial" w:hAnsi="Arial"/>
                <w:sz w:val="20"/>
                <w:szCs w:val="20"/>
                <w:color w:val="auto"/>
              </w:rPr>
              <w:t>$315,674</w:t>
            </w:r>
          </w:p>
        </w:tc>
        <w:tc>
          <w:tcPr>
            <w:tcW w:w="1060" w:type="dxa"/>
            <w:vAlign w:val="bottom"/>
            <w:gridSpan w:val="2"/>
            <w:shd w:val="clear" w:color="auto" w:fill="E6E6E6"/>
          </w:tcPr>
          <w:p>
            <w:pPr>
              <w:jc w:val="right"/>
              <w:ind w:right="151"/>
              <w:spacing w:after="0"/>
              <w:rPr>
                <w:sz w:val="20"/>
                <w:szCs w:val="20"/>
                <w:color w:val="auto"/>
              </w:rPr>
            </w:pPr>
            <w:r>
              <w:rPr>
                <w:rFonts w:ascii="Arial" w:cs="Arial" w:eastAsia="Arial" w:hAnsi="Arial"/>
                <w:sz w:val="20"/>
                <w:szCs w:val="20"/>
                <w:color w:val="auto"/>
              </w:rPr>
              <w:t>$ 24,472</w:t>
            </w:r>
          </w:p>
        </w:tc>
        <w:tc>
          <w:tcPr>
            <w:tcW w:w="10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7.1 %</w:t>
            </w:r>
          </w:p>
        </w:tc>
        <w:tc>
          <w:tcPr>
            <w:tcW w:w="1060" w:type="dxa"/>
            <w:vAlign w:val="bottom"/>
            <w:gridSpan w:val="2"/>
            <w:shd w:val="clear" w:color="auto" w:fill="E6E6E6"/>
          </w:tcPr>
          <w:p>
            <w:pPr>
              <w:jc w:val="right"/>
              <w:ind w:right="151"/>
              <w:spacing w:after="0"/>
              <w:rPr>
                <w:sz w:val="20"/>
                <w:szCs w:val="20"/>
                <w:color w:val="auto"/>
              </w:rPr>
            </w:pPr>
            <w:r>
              <w:rPr>
                <w:rFonts w:ascii="Arial" w:cs="Arial" w:eastAsia="Arial" w:hAnsi="Arial"/>
                <w:sz w:val="20"/>
                <w:szCs w:val="20"/>
                <w:color w:val="auto"/>
              </w:rPr>
              <w:t>$ 31,117</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9.9 %</w:t>
            </w:r>
          </w:p>
        </w:tc>
        <w:tc>
          <w:tcPr>
            <w:tcW w:w="0" w:type="dxa"/>
            <w:vAlign w:val="bottom"/>
          </w:tcPr>
          <w:p>
            <w:pPr>
              <w:spacing w:after="0"/>
              <w:rPr>
                <w:sz w:val="1"/>
                <w:szCs w:val="1"/>
                <w:color w:val="auto"/>
              </w:rPr>
            </w:pPr>
          </w:p>
        </w:tc>
      </w:tr>
      <w:tr>
        <w:trPr>
          <w:trHeight w:val="269"/>
        </w:trPr>
        <w:tc>
          <w:tcPr>
            <w:tcW w:w="2740" w:type="dxa"/>
            <w:vAlign w:val="bottom"/>
            <w:gridSpan w:val="2"/>
          </w:tcPr>
          <w:p>
            <w:pPr>
              <w:ind w:left="60"/>
              <w:spacing w:after="0"/>
              <w:rPr>
                <w:sz w:val="20"/>
                <w:szCs w:val="20"/>
                <w:color w:val="auto"/>
              </w:rPr>
            </w:pPr>
            <w:r>
              <w:rPr>
                <w:rFonts w:ascii="Arial" w:cs="Arial" w:eastAsia="Arial" w:hAnsi="Arial"/>
                <w:sz w:val="20"/>
                <w:szCs w:val="20"/>
                <w:color w:val="auto"/>
              </w:rPr>
              <w:t>As a % of Direct revenues</w:t>
            </w:r>
          </w:p>
        </w:tc>
        <w:tc>
          <w:tcPr>
            <w:tcW w:w="1000" w:type="dxa"/>
            <w:vAlign w:val="bottom"/>
          </w:tcPr>
          <w:p>
            <w:pPr>
              <w:jc w:val="right"/>
              <w:spacing w:after="0"/>
              <w:rPr>
                <w:sz w:val="20"/>
                <w:szCs w:val="20"/>
                <w:color w:val="auto"/>
              </w:rPr>
            </w:pPr>
            <w:r>
              <w:rPr>
                <w:rFonts w:ascii="Arial" w:cs="Arial" w:eastAsia="Arial" w:hAnsi="Arial"/>
                <w:sz w:val="20"/>
                <w:szCs w:val="20"/>
                <w:color w:val="auto"/>
              </w:rPr>
              <w:t>7.4 %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7.7 %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7.6 %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(0.3)%</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0.1 %</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260" w:firstLine="709"/>
        <w:spacing w:after="0" w:line="270" w:lineRule="auto"/>
        <w:rPr>
          <w:sz w:val="20"/>
          <w:szCs w:val="20"/>
          <w:color w:val="auto"/>
        </w:rPr>
      </w:pPr>
      <w:r>
        <w:rPr>
          <w:rFonts w:ascii="Arial" w:cs="Arial" w:eastAsia="Arial" w:hAnsi="Arial"/>
          <w:sz w:val="19"/>
          <w:szCs w:val="19"/>
          <w:color w:val="auto"/>
        </w:rPr>
        <w:t>Environmental Services SG&amp;A expenses for the year ended December 31, 2024 increased $24.5 million from the comparable period in 2023, and slightly improved as a percentage of revenues by maintaining leverage of our SG&amp;A base in the midst of the revenue growth discussed above. Overall, labor and benefit related costs increased $13.2 million primarily driven by additional costs from the HEPACO operations. The remaining increases were spread across various cost categories and were driven by overall growth in the segment results.</w:t>
      </w:r>
    </w:p>
    <w:p>
      <w:pPr>
        <w:spacing w:after="0" w:line="111" w:lineRule="exact"/>
        <w:rPr>
          <w:sz w:val="20"/>
          <w:szCs w:val="20"/>
          <w:color w:val="auto"/>
        </w:rPr>
      </w:pPr>
    </w:p>
    <w:p>
      <w:pPr>
        <w:ind w:right="60" w:firstLine="709"/>
        <w:spacing w:after="0" w:line="254" w:lineRule="auto"/>
        <w:rPr>
          <w:sz w:val="20"/>
          <w:szCs w:val="20"/>
          <w:color w:val="auto"/>
        </w:rPr>
      </w:pPr>
      <w:r>
        <w:rPr>
          <w:rFonts w:ascii="Arial" w:cs="Arial" w:eastAsia="Arial" w:hAnsi="Arial"/>
          <w:sz w:val="20"/>
          <w:szCs w:val="20"/>
          <w:color w:val="auto"/>
        </w:rPr>
        <w:t>Environmental Services SG&amp;A expenses for the year ended December 31, 2023 increased $31.1 million from the comparable period in 2022, but remained relatively consistent as a percentage of revenues by maintaining leverage of our SG&amp;A base in the midst of the revenue growth discussed above. Overall, labor and benefit related costs, including travel, increased $32.0 million primarily driven by incremental headcount, including the acquisitions occurring during the periods, and higher incentive compensation.</w:t>
      </w:r>
    </w:p>
    <w:p>
      <w:pPr>
        <w:spacing w:after="0" w:line="120"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Safety-Kleen Sustainability Solutions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2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2024 over 2023</w:t>
            </w:r>
          </w:p>
        </w:tc>
        <w:tc>
          <w:tcPr>
            <w:tcW w:w="1840" w:type="dxa"/>
            <w:vAlign w:val="bottom"/>
            <w:gridSpan w:val="3"/>
          </w:tcPr>
          <w:p>
            <w:pPr>
              <w:jc w:val="right"/>
              <w:ind w:right="351"/>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203"/>
        </w:trPr>
        <w:tc>
          <w:tcPr>
            <w:tcW w:w="2600" w:type="dxa"/>
            <w:vAlign w:val="bottom"/>
            <w:vMerge w:val="restart"/>
          </w:tcPr>
          <w:p>
            <w:pPr>
              <w:ind w:left="40"/>
              <w:spacing w:after="0"/>
              <w:rPr>
                <w:sz w:val="20"/>
                <w:szCs w:val="20"/>
                <w:color w:val="auto"/>
              </w:rPr>
            </w:pPr>
            <w:r>
              <w:rPr>
                <w:rFonts w:ascii="Arial" w:cs="Arial" w:eastAsia="Arial" w:hAnsi="Arial"/>
                <w:sz w:val="18"/>
                <w:szCs w:val="18"/>
                <w:color w:val="auto"/>
                <w:w w:val="90"/>
              </w:rPr>
              <w:t>(in thousands, except percentages)</w:t>
            </w:r>
          </w:p>
        </w:tc>
        <w:tc>
          <w:tcPr>
            <w:tcW w:w="60" w:type="dxa"/>
            <w:vAlign w:val="bottom"/>
            <w:vMerge w:val="restart"/>
          </w:tcPr>
          <w:p>
            <w:pPr>
              <w:spacing w:after="0"/>
              <w:rPr>
                <w:sz w:val="17"/>
                <w:szCs w:val="17"/>
                <w:color w:val="auto"/>
              </w:rPr>
            </w:pPr>
          </w:p>
        </w:tc>
        <w:tc>
          <w:tcPr>
            <w:tcW w:w="1000" w:type="dxa"/>
            <w:vAlign w:val="bottom"/>
            <w:tcBorders>
              <w:top w:val="single" w:sz="8" w:color="auto"/>
            </w:tcBorders>
            <w:vMerge w:val="restart"/>
          </w:tcPr>
          <w:p>
            <w:pPr>
              <w:jc w:val="right"/>
              <w:ind w:right="226"/>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top w:val="single" w:sz="8" w:color="auto"/>
            </w:tcBorders>
            <w:vMerge w:val="restart"/>
          </w:tcPr>
          <w:p>
            <w:pPr>
              <w:spacing w:after="0"/>
              <w:rPr>
                <w:sz w:val="17"/>
                <w:szCs w:val="17"/>
                <w:color w:val="auto"/>
              </w:rPr>
            </w:pPr>
          </w:p>
        </w:tc>
        <w:tc>
          <w:tcPr>
            <w:tcW w:w="1000" w:type="dxa"/>
            <w:vAlign w:val="bottom"/>
            <w:tcBorders>
              <w:top w:val="single" w:sz="8" w:color="auto"/>
            </w:tcBorders>
            <w:vMerge w:val="restart"/>
          </w:tcPr>
          <w:p>
            <w:pPr>
              <w:jc w:val="right"/>
              <w:ind w:right="231"/>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vMerge w:val="restart"/>
          </w:tcPr>
          <w:p>
            <w:pPr>
              <w:spacing w:after="0"/>
              <w:rPr>
                <w:sz w:val="17"/>
                <w:szCs w:val="17"/>
                <w:color w:val="auto"/>
              </w:rPr>
            </w:pPr>
          </w:p>
        </w:tc>
        <w:tc>
          <w:tcPr>
            <w:tcW w:w="980" w:type="dxa"/>
            <w:vAlign w:val="bottom"/>
            <w:tcBorders>
              <w:top w:val="single" w:sz="8" w:color="auto"/>
            </w:tcBorders>
            <w:vMerge w:val="restart"/>
          </w:tcPr>
          <w:p>
            <w:pPr>
              <w:jc w:val="right"/>
              <w:ind w:right="23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ind w:right="166"/>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top w:val="single" w:sz="8" w:color="auto"/>
            </w:tcBorders>
            <w:gridSpan w:val="2"/>
          </w:tcPr>
          <w:p>
            <w:pPr>
              <w:jc w:val="right"/>
              <w:ind w:right="271"/>
              <w:spacing w:after="0" w:line="203" w:lineRule="exact"/>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ind w:right="146"/>
              <w:spacing w:after="0"/>
              <w:rPr>
                <w:sz w:val="20"/>
                <w:szCs w:val="20"/>
                <w:color w:val="auto"/>
              </w:rPr>
            </w:pPr>
            <w:r>
              <w:rPr>
                <w:rFonts w:ascii="Arial" w:cs="Arial" w:eastAsia="Arial" w:hAnsi="Arial"/>
                <w:sz w:val="18"/>
                <w:szCs w:val="18"/>
                <w:b w:val="1"/>
                <w:bCs w:val="1"/>
                <w:color w:val="auto"/>
                <w:w w:val="93"/>
              </w:rPr>
              <w:t>Change</w:t>
            </w:r>
          </w:p>
        </w:tc>
        <w:tc>
          <w:tcPr>
            <w:tcW w:w="960" w:type="dxa"/>
            <w:vAlign w:val="bottom"/>
            <w:tcBorders>
              <w:top w:val="single" w:sz="8" w:color="auto"/>
            </w:tcBorders>
            <w:gridSpan w:val="2"/>
          </w:tcPr>
          <w:p>
            <w:pPr>
              <w:jc w:val="right"/>
              <w:ind w:right="251"/>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6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Borders>
              <w:bottom w:val="single" w:sz="8" w:color="E6E6E6"/>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1"/>
        </w:trPr>
        <w:tc>
          <w:tcPr>
            <w:tcW w:w="26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SG&amp;A expenses</w:t>
            </w:r>
          </w:p>
        </w:tc>
        <w:tc>
          <w:tcPr>
            <w:tcW w:w="1000" w:type="dxa"/>
            <w:vAlign w:val="bottom"/>
            <w:shd w:val="clear" w:color="auto" w:fill="E6E6E6"/>
          </w:tcPr>
          <w:p>
            <w:pPr>
              <w:jc w:val="right"/>
              <w:ind w:right="46"/>
              <w:spacing w:after="0"/>
              <w:rPr>
                <w:sz w:val="20"/>
                <w:szCs w:val="20"/>
                <w:color w:val="auto"/>
              </w:rPr>
            </w:pPr>
            <w:r>
              <w:rPr>
                <w:rFonts w:ascii="Arial" w:cs="Arial" w:eastAsia="Arial" w:hAnsi="Arial"/>
                <w:sz w:val="20"/>
                <w:szCs w:val="20"/>
                <w:color w:val="auto"/>
              </w:rPr>
              <w:t>$  78,575</w:t>
            </w:r>
          </w:p>
        </w:tc>
        <w:tc>
          <w:tcPr>
            <w:tcW w:w="1060" w:type="dxa"/>
            <w:vAlign w:val="bottom"/>
            <w:gridSpan w:val="2"/>
            <w:shd w:val="clear" w:color="auto" w:fill="E6E6E6"/>
          </w:tcPr>
          <w:p>
            <w:pPr>
              <w:jc w:val="right"/>
              <w:ind w:right="51"/>
              <w:spacing w:after="0"/>
              <w:rPr>
                <w:sz w:val="20"/>
                <w:szCs w:val="20"/>
                <w:color w:val="auto"/>
              </w:rPr>
            </w:pPr>
            <w:r>
              <w:rPr>
                <w:rFonts w:ascii="Arial" w:cs="Arial" w:eastAsia="Arial" w:hAnsi="Arial"/>
                <w:sz w:val="20"/>
                <w:szCs w:val="20"/>
                <w:color w:val="auto"/>
              </w:rPr>
              <w:t>$  78,089</w:t>
            </w:r>
          </w:p>
        </w:tc>
        <w:tc>
          <w:tcPr>
            <w:tcW w:w="1060" w:type="dxa"/>
            <w:vAlign w:val="bottom"/>
            <w:gridSpan w:val="2"/>
            <w:shd w:val="clear" w:color="auto" w:fill="E6E6E6"/>
          </w:tcPr>
          <w:p>
            <w:pPr>
              <w:jc w:val="right"/>
              <w:ind w:right="31"/>
              <w:spacing w:after="0"/>
              <w:rPr>
                <w:sz w:val="20"/>
                <w:szCs w:val="20"/>
                <w:color w:val="auto"/>
              </w:rPr>
            </w:pPr>
            <w:r>
              <w:rPr>
                <w:rFonts w:ascii="Arial" w:cs="Arial" w:eastAsia="Arial" w:hAnsi="Arial"/>
                <w:sz w:val="20"/>
                <w:szCs w:val="20"/>
                <w:color w:val="auto"/>
              </w:rPr>
              <w:t>$  72,762</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ind w:right="46"/>
              <w:spacing w:after="0"/>
              <w:rPr>
                <w:sz w:val="20"/>
                <w:szCs w:val="20"/>
                <w:color w:val="auto"/>
              </w:rPr>
            </w:pPr>
            <w:r>
              <w:rPr>
                <w:rFonts w:ascii="Arial" w:cs="Arial" w:eastAsia="Arial" w:hAnsi="Arial"/>
                <w:sz w:val="20"/>
                <w:szCs w:val="20"/>
                <w:color w:val="auto"/>
              </w:rPr>
              <w:t>486</w:t>
            </w:r>
          </w:p>
        </w:tc>
        <w:tc>
          <w:tcPr>
            <w:tcW w:w="1220" w:type="dxa"/>
            <w:vAlign w:val="bottom"/>
            <w:gridSpan w:val="5"/>
            <w:shd w:val="clear" w:color="auto" w:fill="E6E6E6"/>
          </w:tcPr>
          <w:p>
            <w:pPr>
              <w:jc w:val="right"/>
              <w:ind w:right="40"/>
              <w:spacing w:after="0"/>
              <w:rPr>
                <w:sz w:val="20"/>
                <w:szCs w:val="20"/>
                <w:color w:val="auto"/>
              </w:rPr>
            </w:pPr>
            <w:r>
              <w:rPr>
                <w:rFonts w:ascii="Arial" w:cs="Arial" w:eastAsia="Arial" w:hAnsi="Arial"/>
                <w:sz w:val="20"/>
                <w:szCs w:val="20"/>
                <w:color w:val="auto"/>
              </w:rPr>
              <w:t>0.6 %  $</w:t>
            </w:r>
          </w:p>
        </w:tc>
        <w:tc>
          <w:tcPr>
            <w:tcW w:w="880" w:type="dxa"/>
            <w:vAlign w:val="bottom"/>
            <w:shd w:val="clear" w:color="auto" w:fill="E6E6E6"/>
          </w:tcPr>
          <w:p>
            <w:pPr>
              <w:jc w:val="right"/>
              <w:ind w:right="26"/>
              <w:spacing w:after="0"/>
              <w:rPr>
                <w:sz w:val="20"/>
                <w:szCs w:val="20"/>
                <w:color w:val="auto"/>
              </w:rPr>
            </w:pPr>
            <w:r>
              <w:rPr>
                <w:rFonts w:ascii="Arial" w:cs="Arial" w:eastAsia="Arial" w:hAnsi="Arial"/>
                <w:sz w:val="20"/>
                <w:szCs w:val="20"/>
                <w:color w:val="auto"/>
              </w:rPr>
              <w:t>5,327</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7.3 %</w:t>
            </w:r>
          </w:p>
        </w:tc>
        <w:tc>
          <w:tcPr>
            <w:tcW w:w="0" w:type="dxa"/>
            <w:vAlign w:val="bottom"/>
          </w:tcPr>
          <w:p>
            <w:pPr>
              <w:spacing w:after="0"/>
              <w:rPr>
                <w:sz w:val="1"/>
                <w:szCs w:val="1"/>
                <w:color w:val="auto"/>
              </w:rPr>
            </w:pPr>
          </w:p>
        </w:tc>
      </w:tr>
      <w:tr>
        <w:trPr>
          <w:trHeight w:val="269"/>
        </w:trPr>
        <w:tc>
          <w:tcPr>
            <w:tcW w:w="2660" w:type="dxa"/>
            <w:vAlign w:val="bottom"/>
            <w:gridSpan w:val="2"/>
          </w:tcPr>
          <w:p>
            <w:pPr>
              <w:ind w:left="40"/>
              <w:spacing w:after="0"/>
              <w:rPr>
                <w:sz w:val="20"/>
                <w:szCs w:val="20"/>
                <w:color w:val="auto"/>
              </w:rPr>
            </w:pPr>
            <w:r>
              <w:rPr>
                <w:rFonts w:ascii="Arial" w:cs="Arial" w:eastAsia="Arial" w:hAnsi="Arial"/>
                <w:sz w:val="20"/>
                <w:szCs w:val="20"/>
                <w:color w:val="auto"/>
              </w:rPr>
              <w:t>As a % of Direct revenues</w:t>
            </w:r>
          </w:p>
        </w:tc>
        <w:tc>
          <w:tcPr>
            <w:tcW w:w="1000" w:type="dxa"/>
            <w:vAlign w:val="bottom"/>
          </w:tcPr>
          <w:p>
            <w:pPr>
              <w:jc w:val="right"/>
              <w:spacing w:after="0"/>
              <w:rPr>
                <w:sz w:val="20"/>
                <w:szCs w:val="20"/>
                <w:color w:val="auto"/>
              </w:rPr>
            </w:pPr>
            <w:r>
              <w:rPr>
                <w:rFonts w:ascii="Arial" w:cs="Arial" w:eastAsia="Arial" w:hAnsi="Arial"/>
                <w:sz w:val="20"/>
                <w:szCs w:val="20"/>
                <w:color w:val="auto"/>
              </w:rPr>
              <w:t>8.9 %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8.7 %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7.3 %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0.2 %</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1.4 %</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440" w:firstLine="709"/>
        <w:spacing w:after="0" w:line="276" w:lineRule="auto"/>
        <w:rPr>
          <w:sz w:val="20"/>
          <w:szCs w:val="20"/>
          <w:color w:val="auto"/>
        </w:rPr>
      </w:pPr>
      <w:r>
        <w:rPr>
          <w:rFonts w:ascii="Arial" w:cs="Arial" w:eastAsia="Arial" w:hAnsi="Arial"/>
          <w:sz w:val="20"/>
          <w:szCs w:val="20"/>
          <w:color w:val="auto"/>
        </w:rPr>
        <w:t>SKSS SG&amp;A expenses for the year ended December 31, 2024 remained relatively consistent with the comparable period in 2023 both in dollar amount and as a percentage of revenues.</w:t>
      </w:r>
    </w:p>
    <w:p>
      <w:pPr>
        <w:spacing w:after="0" w:line="101" w:lineRule="exact"/>
        <w:rPr>
          <w:sz w:val="20"/>
          <w:szCs w:val="20"/>
          <w:color w:val="auto"/>
        </w:rPr>
      </w:pPr>
    </w:p>
    <w:p>
      <w:pPr>
        <w:ind w:right="100" w:firstLine="709"/>
        <w:spacing w:after="0" w:line="270" w:lineRule="auto"/>
        <w:rPr>
          <w:sz w:val="20"/>
          <w:szCs w:val="20"/>
          <w:color w:val="auto"/>
        </w:rPr>
      </w:pPr>
      <w:r>
        <w:rPr>
          <w:rFonts w:ascii="Arial" w:cs="Arial" w:eastAsia="Arial" w:hAnsi="Arial"/>
          <w:sz w:val="19"/>
          <w:szCs w:val="19"/>
          <w:color w:val="auto"/>
        </w:rPr>
        <w:t>SKSS SG&amp;A expenses for the year ended December 31, 2023 increased $5.3 million from the comparable period in 2022 and as a percentage of revenues these costs increased mainly due to the revenue reductions discussed above. Higher labor and benefit costs of $3.5 million and a $1.1 million increase in a remedial liability estimate in 2023 drove the overall cost increase. The higher labor and benefit costs were primarily driven by the expanded sales team established in late 2022 which remained relatively consistent through 2023.</w:t>
      </w:r>
    </w:p>
    <w:p>
      <w:pPr>
        <w:spacing w:after="0" w:line="10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Corporate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8"/>
                <w:szCs w:val="18"/>
                <w:b w:val="1"/>
                <w:bCs w:val="1"/>
                <w:color w:val="auto"/>
              </w:rPr>
              <w:t>2024 over 2023</w:t>
            </w:r>
          </w:p>
        </w:tc>
        <w:tc>
          <w:tcPr>
            <w:tcW w:w="80" w:type="dxa"/>
            <w:vAlign w:val="bottom"/>
          </w:tcPr>
          <w:p>
            <w:pPr>
              <w:spacing w:after="0"/>
              <w:rPr>
                <w:sz w:val="20"/>
                <w:szCs w:val="20"/>
                <w:color w:val="auto"/>
              </w:rPr>
            </w:pPr>
          </w:p>
        </w:tc>
        <w:tc>
          <w:tcPr>
            <w:tcW w:w="16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203"/>
        </w:trPr>
        <w:tc>
          <w:tcPr>
            <w:tcW w:w="3500" w:type="dxa"/>
            <w:vAlign w:val="bottom"/>
            <w:vMerge w:val="restart"/>
          </w:tcPr>
          <w:p>
            <w:pPr>
              <w:ind w:left="60"/>
              <w:spacing w:after="0"/>
              <w:rPr>
                <w:sz w:val="20"/>
                <w:szCs w:val="20"/>
                <w:color w:val="auto"/>
              </w:rPr>
            </w:pPr>
            <w:r>
              <w:rPr>
                <w:rFonts w:ascii="Arial" w:cs="Arial" w:eastAsia="Arial" w:hAnsi="Arial"/>
                <w:sz w:val="18"/>
                <w:szCs w:val="18"/>
                <w:color w:val="auto"/>
              </w:rPr>
              <w:t>(in thousands, except percentages)</w:t>
            </w:r>
          </w:p>
        </w:tc>
        <w:tc>
          <w:tcPr>
            <w:tcW w:w="60" w:type="dxa"/>
            <w:vAlign w:val="bottom"/>
            <w:vMerge w:val="restart"/>
          </w:tcPr>
          <w:p>
            <w:pPr>
              <w:spacing w:after="0"/>
              <w:rPr>
                <w:sz w:val="17"/>
                <w:szCs w:val="17"/>
                <w:color w:val="auto"/>
              </w:rPr>
            </w:pPr>
          </w:p>
        </w:tc>
        <w:tc>
          <w:tcPr>
            <w:tcW w:w="1000" w:type="dxa"/>
            <w:vAlign w:val="bottom"/>
            <w:vMerge w:val="restart"/>
          </w:tcPr>
          <w:p>
            <w:pPr>
              <w:jc w:val="right"/>
              <w:ind w:right="226"/>
              <w:spacing w:after="0"/>
              <w:rPr>
                <w:sz w:val="20"/>
                <w:szCs w:val="20"/>
                <w:color w:val="auto"/>
              </w:rPr>
            </w:pPr>
            <w:r>
              <w:rPr>
                <w:rFonts w:ascii="Arial" w:cs="Arial" w:eastAsia="Arial" w:hAnsi="Arial"/>
                <w:sz w:val="18"/>
                <w:szCs w:val="18"/>
                <w:b w:val="1"/>
                <w:bCs w:val="1"/>
                <w:color w:val="auto"/>
              </w:rPr>
              <w:t>2024</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2023</w:t>
            </w:r>
          </w:p>
        </w:tc>
        <w:tc>
          <w:tcPr>
            <w:tcW w:w="80" w:type="dxa"/>
            <w:vAlign w:val="bottom"/>
            <w:vMerge w:val="restart"/>
          </w:tcPr>
          <w:p>
            <w:pPr>
              <w:spacing w:after="0"/>
              <w:rPr>
                <w:sz w:val="17"/>
                <w:szCs w:val="17"/>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60" w:type="dxa"/>
            <w:vAlign w:val="bottom"/>
            <w:gridSpan w:val="2"/>
          </w:tcPr>
          <w:p>
            <w:pPr>
              <w:jc w:val="right"/>
              <w:ind w:right="211"/>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60" w:type="dxa"/>
            <w:vAlign w:val="bottom"/>
            <w:gridSpan w:val="2"/>
          </w:tcPr>
          <w:p>
            <w:pPr>
              <w:ind w:left="380"/>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Borders>
              <w:bottom w:val="single" w:sz="8" w:color="E6E6E6"/>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71"/>
        </w:trPr>
        <w:tc>
          <w:tcPr>
            <w:tcW w:w="35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SG&amp;A expenses</w:t>
            </w:r>
          </w:p>
        </w:tc>
        <w:tc>
          <w:tcPr>
            <w:tcW w:w="1000" w:type="dxa"/>
            <w:vAlign w:val="bottom"/>
            <w:shd w:val="clear" w:color="auto" w:fill="E6E6E6"/>
          </w:tcPr>
          <w:p>
            <w:pPr>
              <w:jc w:val="right"/>
              <w:ind w:right="46"/>
              <w:spacing w:after="0"/>
              <w:rPr>
                <w:sz w:val="20"/>
                <w:szCs w:val="20"/>
                <w:color w:val="auto"/>
              </w:rPr>
            </w:pPr>
            <w:r>
              <w:rPr>
                <w:rFonts w:ascii="Arial" w:cs="Arial" w:eastAsia="Arial" w:hAnsi="Arial"/>
                <w:sz w:val="20"/>
                <w:szCs w:val="20"/>
                <w:color w:val="auto"/>
                <w:w w:val="94"/>
              </w:rPr>
              <w:t>$ 261,810</w:t>
            </w:r>
          </w:p>
        </w:tc>
        <w:tc>
          <w:tcPr>
            <w:tcW w:w="1060" w:type="dxa"/>
            <w:vAlign w:val="bottom"/>
            <w:gridSpan w:val="2"/>
            <w:shd w:val="clear" w:color="auto" w:fill="E6E6E6"/>
          </w:tcPr>
          <w:p>
            <w:pPr>
              <w:jc w:val="right"/>
              <w:ind w:right="51"/>
              <w:spacing w:after="0"/>
              <w:rPr>
                <w:sz w:val="20"/>
                <w:szCs w:val="20"/>
                <w:color w:val="auto"/>
              </w:rPr>
            </w:pPr>
            <w:r>
              <w:rPr>
                <w:rFonts w:ascii="Arial" w:cs="Arial" w:eastAsia="Arial" w:hAnsi="Arial"/>
                <w:sz w:val="20"/>
                <w:szCs w:val="20"/>
                <w:color w:val="auto"/>
              </w:rPr>
              <w:t>$ 225,578</w:t>
            </w:r>
          </w:p>
        </w:tc>
        <w:tc>
          <w:tcPr>
            <w:tcW w:w="1060" w:type="dxa"/>
            <w:vAlign w:val="bottom"/>
            <w:gridSpan w:val="2"/>
            <w:shd w:val="clear" w:color="auto" w:fill="E6E6E6"/>
          </w:tcPr>
          <w:p>
            <w:pPr>
              <w:jc w:val="right"/>
              <w:ind w:right="31"/>
              <w:spacing w:after="0"/>
              <w:rPr>
                <w:sz w:val="20"/>
                <w:szCs w:val="20"/>
                <w:color w:val="auto"/>
              </w:rPr>
            </w:pPr>
            <w:r>
              <w:rPr>
                <w:rFonts w:ascii="Arial" w:cs="Arial" w:eastAsia="Arial" w:hAnsi="Arial"/>
                <w:sz w:val="20"/>
                <w:szCs w:val="20"/>
                <w:color w:val="auto"/>
              </w:rPr>
              <w:t>$ 212,111</w:t>
            </w: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$36,232</w:t>
            </w: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16.1 %</w:t>
            </w:r>
          </w:p>
        </w:tc>
        <w:tc>
          <w:tcPr>
            <w:tcW w:w="860" w:type="dxa"/>
            <w:vAlign w:val="bottom"/>
            <w:gridSpan w:val="2"/>
            <w:shd w:val="clear" w:color="auto" w:fill="E6E6E6"/>
          </w:tcPr>
          <w:p>
            <w:pPr>
              <w:jc w:val="right"/>
              <w:ind w:right="11"/>
              <w:spacing w:after="0"/>
              <w:rPr>
                <w:sz w:val="20"/>
                <w:szCs w:val="20"/>
                <w:color w:val="auto"/>
              </w:rPr>
            </w:pPr>
            <w:r>
              <w:rPr>
                <w:rFonts w:ascii="Arial" w:cs="Arial" w:eastAsia="Arial" w:hAnsi="Arial"/>
                <w:sz w:val="20"/>
                <w:szCs w:val="20"/>
                <w:color w:val="auto"/>
              </w:rPr>
              <w:t>$13,467</w:t>
            </w:r>
          </w:p>
        </w:tc>
        <w:tc>
          <w:tcPr>
            <w:tcW w:w="860" w:type="dxa"/>
            <w:vAlign w:val="bottom"/>
            <w:gridSpan w:val="2"/>
            <w:shd w:val="clear" w:color="auto" w:fill="E6E6E6"/>
          </w:tcPr>
          <w:p>
            <w:pPr>
              <w:ind w:left="360"/>
              <w:spacing w:after="0"/>
              <w:rPr>
                <w:sz w:val="20"/>
                <w:szCs w:val="20"/>
                <w:color w:val="auto"/>
              </w:rPr>
            </w:pPr>
            <w:r>
              <w:rPr>
                <w:rFonts w:ascii="Arial" w:cs="Arial" w:eastAsia="Arial" w:hAnsi="Arial"/>
                <w:sz w:val="20"/>
                <w:szCs w:val="20"/>
                <w:color w:val="auto"/>
                <w:w w:val="93"/>
              </w:rPr>
              <w:t>6.3 %</w:t>
            </w:r>
          </w:p>
        </w:tc>
        <w:tc>
          <w:tcPr>
            <w:tcW w:w="0" w:type="dxa"/>
            <w:vAlign w:val="bottom"/>
          </w:tcPr>
          <w:p>
            <w:pPr>
              <w:spacing w:after="0"/>
              <w:rPr>
                <w:sz w:val="1"/>
                <w:szCs w:val="1"/>
                <w:color w:val="auto"/>
              </w:rPr>
            </w:pPr>
          </w:p>
        </w:tc>
      </w:tr>
      <w:tr>
        <w:trPr>
          <w:trHeight w:val="269"/>
        </w:trPr>
        <w:tc>
          <w:tcPr>
            <w:tcW w:w="3560" w:type="dxa"/>
            <w:vAlign w:val="bottom"/>
            <w:gridSpan w:val="2"/>
          </w:tcPr>
          <w:p>
            <w:pPr>
              <w:ind w:left="60"/>
              <w:spacing w:after="0"/>
              <w:rPr>
                <w:sz w:val="20"/>
                <w:szCs w:val="20"/>
                <w:color w:val="auto"/>
              </w:rPr>
            </w:pPr>
            <w:r>
              <w:rPr>
                <w:rFonts w:ascii="Arial" w:cs="Arial" w:eastAsia="Arial" w:hAnsi="Arial"/>
                <w:sz w:val="20"/>
                <w:szCs w:val="20"/>
                <w:color w:val="auto"/>
                <w:w w:val="93"/>
              </w:rPr>
              <w:t>As a % of Total Company Direct revenues</w:t>
            </w:r>
          </w:p>
        </w:tc>
        <w:tc>
          <w:tcPr>
            <w:tcW w:w="1000" w:type="dxa"/>
            <w:vAlign w:val="bottom"/>
          </w:tcPr>
          <w:p>
            <w:pPr>
              <w:jc w:val="right"/>
              <w:spacing w:after="0"/>
              <w:rPr>
                <w:sz w:val="20"/>
                <w:szCs w:val="20"/>
                <w:color w:val="auto"/>
              </w:rPr>
            </w:pPr>
            <w:r>
              <w:rPr>
                <w:rFonts w:ascii="Arial" w:cs="Arial" w:eastAsia="Arial" w:hAnsi="Arial"/>
                <w:sz w:val="20"/>
                <w:szCs w:val="20"/>
                <w:color w:val="auto"/>
              </w:rPr>
              <w:t>4.4 %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4.2 %</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4.1 %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0.2 %</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0.1 %</w:t>
            </w: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180" w:firstLine="709"/>
        <w:spacing w:after="0" w:line="405" w:lineRule="auto"/>
        <w:rPr>
          <w:sz w:val="20"/>
          <w:szCs w:val="20"/>
          <w:color w:val="auto"/>
        </w:rPr>
      </w:pPr>
      <w:r>
        <w:rPr>
          <w:rFonts w:ascii="Arial" w:cs="Arial" w:eastAsia="Arial" w:hAnsi="Arial"/>
          <w:sz w:val="16"/>
          <w:szCs w:val="16"/>
          <w:color w:val="auto"/>
        </w:rPr>
        <w:t>We manage our Corporate SG&amp;A expenses commensurate with the overall total Company performance and direct revenue levels. As a percentage of total Company revenues these costs remained relatively consistent in 2024, 2023 and 2022.</w:t>
      </w:r>
    </w:p>
    <w:p>
      <w:pPr>
        <w:spacing w:after="0" w:line="9" w:lineRule="exact"/>
        <w:rPr>
          <w:sz w:val="20"/>
          <w:szCs w:val="20"/>
          <w:color w:val="auto"/>
        </w:rPr>
      </w:pPr>
    </w:p>
    <w:p>
      <w:pPr>
        <w:jc w:val="both"/>
        <w:ind w:right="20" w:firstLine="709"/>
        <w:spacing w:after="0" w:line="356" w:lineRule="auto"/>
        <w:rPr>
          <w:sz w:val="20"/>
          <w:szCs w:val="20"/>
          <w:color w:val="auto"/>
        </w:rPr>
      </w:pPr>
      <w:r>
        <w:rPr>
          <w:rFonts w:ascii="Arial" w:cs="Arial" w:eastAsia="Arial" w:hAnsi="Arial"/>
          <w:sz w:val="16"/>
          <w:szCs w:val="16"/>
          <w:color w:val="auto"/>
        </w:rPr>
        <w:t>In total, Corporate SG&amp;A expenses increased by $36.2 million in 2024; however, as noted above, these costs remained relatively consistent as a percentage of revenues. In general, the overall cost increase included a $29.4 million increase in labor and benefit related expenses predominately driven by incremental headcount from the operations acquired during 2024.</w:t>
      </w:r>
    </w:p>
    <w:p>
      <w:pPr>
        <w:sectPr>
          <w:pgSz w:w="11880" w:h="15480" w:orient="portrait"/>
          <w:cols w:equalWidth="0" w:num="1">
            <w:col w:w="10120"/>
          </w:cols>
          <w:pgMar w:left="880" w:top="567" w:right="88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880" w:h="15480" w:orient="portrait"/>
          <w:cols w:equalWidth="0" w:num="1">
            <w:col w:w="10120"/>
          </w:cols>
          <w:pgMar w:left="880" w:top="567" w:right="880" w:bottom="0" w:gutter="0" w:footer="0" w:header="0"/>
          <w:type w:val="continuous"/>
        </w:sectPr>
      </w:pPr>
    </w:p>
    <w:bookmarkStart w:id="43" w:name="page44"/>
    <w:bookmarkEnd w:id="43"/>
    <w:p>
      <w:pPr>
        <w:ind w:right="300"/>
        <w:spacing w:after="0" w:line="276" w:lineRule="auto"/>
        <w:rPr>
          <w:sz w:val="20"/>
          <w:szCs w:val="20"/>
          <w:color w:val="auto"/>
        </w:rPr>
      </w:pPr>
      <w:r>
        <w:rPr>
          <w:rFonts w:ascii="Arial" w:cs="Arial" w:eastAsia="Arial" w:hAnsi="Arial"/>
          <w:sz w:val="20"/>
          <w:szCs w:val="20"/>
          <w:color w:val="auto"/>
        </w:rPr>
        <w:t>Additionally, information technology costs increased by $5.1 million. Severance and integration related costs increased $4.9 million to a total of $14.3 million in 2024.</w:t>
      </w:r>
    </w:p>
    <w:p>
      <w:pPr>
        <w:spacing w:after="0" w:line="101" w:lineRule="exact"/>
        <w:rPr>
          <w:sz w:val="20"/>
          <w:szCs w:val="20"/>
          <w:color w:val="auto"/>
        </w:rPr>
      </w:pPr>
    </w:p>
    <w:p>
      <w:pPr>
        <w:ind w:right="320" w:firstLine="709"/>
        <w:spacing w:after="0" w:line="256" w:lineRule="auto"/>
        <w:rPr>
          <w:sz w:val="20"/>
          <w:szCs w:val="20"/>
          <w:color w:val="auto"/>
        </w:rPr>
      </w:pPr>
      <w:r>
        <w:rPr>
          <w:rFonts w:ascii="Arial" w:cs="Arial" w:eastAsia="Arial" w:hAnsi="Arial"/>
          <w:sz w:val="20"/>
          <w:szCs w:val="20"/>
          <w:color w:val="auto"/>
        </w:rPr>
        <w:t>Corporate SG&amp;A expenses increased by $13.5 million in 2023; however, as noted above, these costs remained relatively consistent as a percentage of revenues. In general, the overall cost increase was driven by higher labor and benefit related expenses, professional fees and cybersecurity/ information technology costs of $5.6 million, $3.9 million and $3.2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w:t>
      </w:r>
    </w:p>
    <w:p>
      <w:pPr>
        <w:spacing w:after="0" w:line="172" w:lineRule="exact"/>
        <w:rPr>
          <w:sz w:val="20"/>
          <w:szCs w:val="20"/>
          <w:color w:val="auto"/>
        </w:rPr>
      </w:pPr>
    </w:p>
    <w:p>
      <w:pPr>
        <w:ind w:right="60" w:firstLine="709"/>
        <w:spacing w:after="0" w:line="289" w:lineRule="auto"/>
        <w:rPr>
          <w:sz w:val="20"/>
          <w:szCs w:val="20"/>
          <w:color w:val="auto"/>
        </w:rPr>
      </w:pPr>
      <w:r>
        <w:rPr>
          <w:rFonts w:ascii="Arial" w:cs="Arial" w:eastAsia="Arial" w:hAnsi="Arial"/>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93" w:lineRule="exact"/>
        <w:rPr>
          <w:sz w:val="20"/>
          <w:szCs w:val="20"/>
          <w:color w:val="auto"/>
        </w:rPr>
      </w:pPr>
    </w:p>
    <w:p>
      <w:pPr>
        <w:ind w:right="280" w:firstLine="709"/>
        <w:spacing w:after="0" w:line="256" w:lineRule="auto"/>
        <w:rPr>
          <w:sz w:val="20"/>
          <w:szCs w:val="20"/>
          <w:color w:val="auto"/>
        </w:rPr>
      </w:pPr>
      <w:r>
        <w:rPr>
          <w:rFonts w:ascii="Arial" w:cs="Arial" w:eastAsia="Arial" w:hAnsi="Arial"/>
          <w:sz w:val="20"/>
          <w:szCs w:val="20"/>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122" w:lineRule="exact"/>
        <w:rPr>
          <w:sz w:val="20"/>
          <w:szCs w:val="20"/>
          <w:color w:val="auto"/>
        </w:rPr>
      </w:pPr>
    </w:p>
    <w:p>
      <w:pPr>
        <w:jc w:val="both"/>
        <w:ind w:right="160" w:firstLine="709"/>
        <w:spacing w:after="0" w:line="268" w:lineRule="auto"/>
        <w:rPr>
          <w:sz w:val="20"/>
          <w:szCs w:val="20"/>
          <w:color w:val="auto"/>
        </w:rPr>
      </w:pPr>
      <w:r>
        <w:rPr>
          <w:rFonts w:ascii="Arial" w:cs="Arial" w:eastAsia="Arial" w:hAnsi="Arial"/>
          <w:sz w:val="19"/>
          <w:szCs w:val="19"/>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112" w:lineRule="exact"/>
        <w:rPr>
          <w:sz w:val="20"/>
          <w:szCs w:val="20"/>
          <w:color w:val="auto"/>
        </w:rPr>
      </w:pPr>
    </w:p>
    <w:p>
      <w:pPr>
        <w:jc w:val="both"/>
        <w:ind w:right="100" w:firstLine="709"/>
        <w:spacing w:after="0" w:line="270" w:lineRule="auto"/>
        <w:rPr>
          <w:sz w:val="20"/>
          <w:szCs w:val="20"/>
          <w:color w:val="auto"/>
        </w:rPr>
      </w:pPr>
      <w:r>
        <w:rPr>
          <w:rFonts w:ascii="Arial" w:cs="Arial" w:eastAsia="Arial" w:hAnsi="Arial"/>
          <w:sz w:val="19"/>
          <w:szCs w:val="19"/>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111" w:lineRule="exact"/>
        <w:rPr>
          <w:sz w:val="20"/>
          <w:szCs w:val="20"/>
          <w:color w:val="auto"/>
        </w:rPr>
      </w:pPr>
    </w:p>
    <w:p>
      <w:pPr>
        <w:ind w:right="380" w:firstLine="709"/>
        <w:spacing w:after="0" w:line="276" w:lineRule="auto"/>
        <w:rPr>
          <w:sz w:val="20"/>
          <w:szCs w:val="20"/>
          <w:color w:val="auto"/>
        </w:rPr>
      </w:pPr>
      <w:r>
        <w:rPr>
          <w:rFonts w:ascii="Arial" w:cs="Arial" w:eastAsia="Arial" w:hAnsi="Arial"/>
          <w:sz w:val="20"/>
          <w:szCs w:val="20"/>
          <w:color w:val="auto"/>
        </w:rPr>
        <w:t>The following is a reconciliation of net income to Adjusted EBITDA for the following years (in thousands, except percentages):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7"/>
          </w:tcPr>
          <w:p>
            <w:pPr>
              <w:jc w:val="right"/>
              <w:ind w:right="902"/>
              <w:spacing w:after="0"/>
              <w:rPr>
                <w:sz w:val="20"/>
                <w:szCs w:val="20"/>
                <w:color w:val="auto"/>
              </w:rPr>
            </w:pPr>
            <w:r>
              <w:rPr>
                <w:rFonts w:ascii="Arial" w:cs="Arial" w:eastAsia="Arial" w:hAnsi="Arial"/>
                <w:sz w:val="18"/>
                <w:szCs w:val="18"/>
                <w:b w:val="1"/>
                <w:bCs w:val="1"/>
                <w:color w:val="auto"/>
              </w:rPr>
              <w:t>For the years ended December 31,</w:t>
            </w:r>
          </w:p>
        </w:tc>
      </w:tr>
      <w:tr>
        <w:trPr>
          <w:trHeight w:val="261"/>
        </w:trPr>
        <w:tc>
          <w:tcPr>
            <w:tcW w:w="552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3"/>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8"/>
                <w:szCs w:val="18"/>
                <w:b w:val="1"/>
                <w:bCs w:val="1"/>
                <w:color w:val="auto"/>
              </w:rPr>
              <w:t>2022</w:t>
            </w:r>
          </w:p>
        </w:tc>
      </w:tr>
      <w:tr>
        <w:trPr>
          <w:trHeight w:val="271"/>
        </w:trPr>
        <w:tc>
          <w:tcPr>
            <w:tcW w:w="5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Net income</w:t>
            </w:r>
          </w:p>
        </w:tc>
        <w:tc>
          <w:tcPr>
            <w:tcW w:w="300" w:type="dxa"/>
            <w:vAlign w:val="bottom"/>
            <w:shd w:val="clear" w:color="auto" w:fill="E6E6E6"/>
          </w:tcPr>
          <w:p>
            <w:pPr>
              <w:jc w:val="right"/>
              <w:ind w:right="61"/>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ind w:right="143"/>
              <w:spacing w:after="0"/>
              <w:rPr>
                <w:sz w:val="20"/>
                <w:szCs w:val="20"/>
                <w:color w:val="auto"/>
              </w:rPr>
            </w:pPr>
            <w:r>
              <w:rPr>
                <w:rFonts w:ascii="Arial" w:cs="Arial" w:eastAsia="Arial" w:hAnsi="Arial"/>
                <w:sz w:val="20"/>
                <w:szCs w:val="20"/>
                <w:color w:val="auto"/>
              </w:rPr>
              <w:t>402,299</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377,856</w:t>
            </w:r>
          </w:p>
        </w:tc>
        <w:tc>
          <w:tcPr>
            <w:tcW w:w="380" w:type="dxa"/>
            <w:vAlign w:val="bottom"/>
            <w:gridSpan w:val="2"/>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411,744</w:t>
            </w:r>
          </w:p>
        </w:tc>
      </w:tr>
      <w:tr>
        <w:trPr>
          <w:trHeight w:val="275"/>
        </w:trPr>
        <w:tc>
          <w:tcPr>
            <w:tcW w:w="5520" w:type="dxa"/>
            <w:vAlign w:val="bottom"/>
          </w:tcPr>
          <w:p>
            <w:pPr>
              <w:ind w:left="60"/>
              <w:spacing w:after="0"/>
              <w:rPr>
                <w:sz w:val="20"/>
                <w:szCs w:val="20"/>
                <w:color w:val="auto"/>
              </w:rPr>
            </w:pPr>
            <w:r>
              <w:rPr>
                <w:rFonts w:ascii="Arial" w:cs="Arial" w:eastAsia="Arial" w:hAnsi="Arial"/>
                <w:sz w:val="20"/>
                <w:szCs w:val="20"/>
                <w:color w:val="auto"/>
              </w:rPr>
              <w:t>Accretion of environmental liabilities</w:t>
            </w:r>
          </w:p>
        </w:tc>
        <w:tc>
          <w:tcPr>
            <w:tcW w:w="300" w:type="dxa"/>
            <w:vAlign w:val="bottom"/>
          </w:tcPr>
          <w:p>
            <w:pPr>
              <w:spacing w:after="0"/>
              <w:rPr>
                <w:sz w:val="23"/>
                <w:szCs w:val="23"/>
                <w:color w:val="auto"/>
              </w:rPr>
            </w:pPr>
          </w:p>
        </w:tc>
        <w:tc>
          <w:tcPr>
            <w:tcW w:w="1180" w:type="dxa"/>
            <w:vAlign w:val="bottom"/>
          </w:tcPr>
          <w:p>
            <w:pPr>
              <w:jc w:val="right"/>
              <w:ind w:right="143"/>
              <w:spacing w:after="0"/>
              <w:rPr>
                <w:sz w:val="20"/>
                <w:szCs w:val="20"/>
                <w:color w:val="auto"/>
              </w:rPr>
            </w:pPr>
            <w:r>
              <w:rPr>
                <w:rFonts w:ascii="Arial" w:cs="Arial" w:eastAsia="Arial" w:hAnsi="Arial"/>
                <w:sz w:val="20"/>
                <w:szCs w:val="20"/>
                <w:color w:val="auto"/>
              </w:rPr>
              <w:t>13,456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42"/>
              <w:spacing w:after="0"/>
              <w:rPr>
                <w:sz w:val="20"/>
                <w:szCs w:val="20"/>
                <w:color w:val="auto"/>
              </w:rPr>
            </w:pPr>
            <w:r>
              <w:rPr>
                <w:rFonts w:ascii="Arial" w:cs="Arial" w:eastAsia="Arial" w:hAnsi="Arial"/>
                <w:sz w:val="20"/>
                <w:szCs w:val="20"/>
                <w:color w:val="auto"/>
              </w:rPr>
              <w:t>13,667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42"/>
              <w:spacing w:after="0"/>
              <w:rPr>
                <w:sz w:val="20"/>
                <w:szCs w:val="20"/>
                <w:color w:val="auto"/>
              </w:rPr>
            </w:pPr>
            <w:r>
              <w:rPr>
                <w:rFonts w:ascii="Arial" w:cs="Arial" w:eastAsia="Arial" w:hAnsi="Arial"/>
                <w:sz w:val="20"/>
                <w:szCs w:val="20"/>
                <w:color w:val="auto"/>
              </w:rPr>
              <w:t>12,943</w:t>
            </w:r>
          </w:p>
        </w:tc>
      </w:tr>
      <w:tr>
        <w:trPr>
          <w:trHeight w:val="287"/>
        </w:trPr>
        <w:tc>
          <w:tcPr>
            <w:tcW w:w="5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Stock-based compensation</w:t>
            </w: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3"/>
              <w:spacing w:after="0"/>
              <w:rPr>
                <w:sz w:val="20"/>
                <w:szCs w:val="20"/>
                <w:color w:val="auto"/>
              </w:rPr>
            </w:pPr>
            <w:r>
              <w:rPr>
                <w:rFonts w:ascii="Arial" w:cs="Arial" w:eastAsia="Arial" w:hAnsi="Arial"/>
                <w:sz w:val="20"/>
                <w:szCs w:val="20"/>
                <w:color w:val="auto"/>
              </w:rPr>
              <w:t>27,981</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20,703</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26,844</w:t>
            </w:r>
          </w:p>
        </w:tc>
      </w:tr>
      <w:tr>
        <w:trPr>
          <w:trHeight w:val="275"/>
        </w:trPr>
        <w:tc>
          <w:tcPr>
            <w:tcW w:w="5520" w:type="dxa"/>
            <w:vAlign w:val="bottom"/>
          </w:tcPr>
          <w:p>
            <w:pPr>
              <w:ind w:left="60"/>
              <w:spacing w:after="0"/>
              <w:rPr>
                <w:sz w:val="20"/>
                <w:szCs w:val="20"/>
                <w:color w:val="auto"/>
              </w:rPr>
            </w:pPr>
            <w:r>
              <w:rPr>
                <w:rFonts w:ascii="Arial" w:cs="Arial" w:eastAsia="Arial" w:hAnsi="Arial"/>
                <w:sz w:val="20"/>
                <w:szCs w:val="20"/>
                <w:color w:val="auto"/>
              </w:rPr>
              <w:t>Depreciation and amortization</w:t>
            </w:r>
          </w:p>
        </w:tc>
        <w:tc>
          <w:tcPr>
            <w:tcW w:w="300" w:type="dxa"/>
            <w:vAlign w:val="bottom"/>
          </w:tcPr>
          <w:p>
            <w:pPr>
              <w:spacing w:after="0"/>
              <w:rPr>
                <w:sz w:val="23"/>
                <w:szCs w:val="23"/>
                <w:color w:val="auto"/>
              </w:rPr>
            </w:pPr>
          </w:p>
        </w:tc>
        <w:tc>
          <w:tcPr>
            <w:tcW w:w="1180" w:type="dxa"/>
            <w:vAlign w:val="bottom"/>
          </w:tcPr>
          <w:p>
            <w:pPr>
              <w:jc w:val="right"/>
              <w:ind w:right="143"/>
              <w:spacing w:after="0"/>
              <w:rPr>
                <w:sz w:val="20"/>
                <w:szCs w:val="20"/>
                <w:color w:val="auto"/>
              </w:rPr>
            </w:pPr>
            <w:r>
              <w:rPr>
                <w:rFonts w:ascii="Arial" w:cs="Arial" w:eastAsia="Arial" w:hAnsi="Arial"/>
                <w:sz w:val="20"/>
                <w:szCs w:val="20"/>
                <w:color w:val="auto"/>
              </w:rPr>
              <w:t>400,922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42"/>
              <w:spacing w:after="0"/>
              <w:rPr>
                <w:sz w:val="20"/>
                <w:szCs w:val="20"/>
                <w:color w:val="auto"/>
              </w:rPr>
            </w:pPr>
            <w:r>
              <w:rPr>
                <w:rFonts w:ascii="Arial" w:cs="Arial" w:eastAsia="Arial" w:hAnsi="Arial"/>
                <w:sz w:val="20"/>
                <w:szCs w:val="20"/>
                <w:color w:val="auto"/>
              </w:rPr>
              <w:t>365,761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42"/>
              <w:spacing w:after="0"/>
              <w:rPr>
                <w:sz w:val="20"/>
                <w:szCs w:val="20"/>
                <w:color w:val="auto"/>
              </w:rPr>
            </w:pPr>
            <w:r>
              <w:rPr>
                <w:rFonts w:ascii="Arial" w:cs="Arial" w:eastAsia="Arial" w:hAnsi="Arial"/>
                <w:sz w:val="20"/>
                <w:szCs w:val="20"/>
                <w:color w:val="auto"/>
              </w:rPr>
              <w:t>347,594</w:t>
            </w:r>
          </w:p>
        </w:tc>
      </w:tr>
      <w:tr>
        <w:trPr>
          <w:trHeight w:val="287"/>
        </w:trPr>
        <w:tc>
          <w:tcPr>
            <w:tcW w:w="5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Kimball startup costs</w:t>
            </w: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3"/>
              <w:spacing w:after="0"/>
              <w:rPr>
                <w:sz w:val="20"/>
                <w:szCs w:val="20"/>
                <w:color w:val="auto"/>
              </w:rPr>
            </w:pPr>
            <w:r>
              <w:rPr>
                <w:rFonts w:ascii="Arial" w:cs="Arial" w:eastAsia="Arial" w:hAnsi="Arial"/>
                <w:sz w:val="20"/>
                <w:szCs w:val="20"/>
                <w:color w:val="auto"/>
              </w:rPr>
              <w:t>4,343</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r>
      <w:tr>
        <w:trPr>
          <w:trHeight w:val="275"/>
        </w:trPr>
        <w:tc>
          <w:tcPr>
            <w:tcW w:w="5520" w:type="dxa"/>
            <w:vAlign w:val="bottom"/>
          </w:tcPr>
          <w:p>
            <w:pPr>
              <w:ind w:left="60"/>
              <w:spacing w:after="0"/>
              <w:rPr>
                <w:sz w:val="20"/>
                <w:szCs w:val="20"/>
                <w:color w:val="auto"/>
              </w:rPr>
            </w:pPr>
            <w:r>
              <w:rPr>
                <w:rFonts w:ascii="Arial" w:cs="Arial" w:eastAsia="Arial" w:hAnsi="Arial"/>
                <w:sz w:val="20"/>
                <w:szCs w:val="20"/>
                <w:color w:val="auto"/>
              </w:rPr>
              <w:t>Other expense (income), net</w:t>
            </w:r>
          </w:p>
        </w:tc>
        <w:tc>
          <w:tcPr>
            <w:tcW w:w="300" w:type="dxa"/>
            <w:vAlign w:val="bottom"/>
          </w:tcPr>
          <w:p>
            <w:pPr>
              <w:spacing w:after="0"/>
              <w:rPr>
                <w:sz w:val="23"/>
                <w:szCs w:val="23"/>
                <w:color w:val="auto"/>
              </w:rPr>
            </w:pPr>
          </w:p>
        </w:tc>
        <w:tc>
          <w:tcPr>
            <w:tcW w:w="1180" w:type="dxa"/>
            <w:vAlign w:val="bottom"/>
          </w:tcPr>
          <w:p>
            <w:pPr>
              <w:jc w:val="right"/>
              <w:ind w:right="143"/>
              <w:spacing w:after="0"/>
              <w:rPr>
                <w:sz w:val="20"/>
                <w:szCs w:val="20"/>
                <w:color w:val="auto"/>
              </w:rPr>
            </w:pPr>
            <w:r>
              <w:rPr>
                <w:rFonts w:ascii="Arial" w:cs="Arial" w:eastAsia="Arial" w:hAnsi="Arial"/>
                <w:sz w:val="20"/>
                <w:szCs w:val="20"/>
                <w:color w:val="auto"/>
              </w:rPr>
              <w:t>1,454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82"/>
              <w:spacing w:after="0"/>
              <w:rPr>
                <w:sz w:val="20"/>
                <w:szCs w:val="20"/>
                <w:color w:val="auto"/>
              </w:rPr>
            </w:pPr>
            <w:r>
              <w:rPr>
                <w:rFonts w:ascii="Arial" w:cs="Arial" w:eastAsia="Arial" w:hAnsi="Arial"/>
                <w:sz w:val="20"/>
                <w:szCs w:val="20"/>
                <w:color w:val="auto"/>
              </w:rPr>
              <w:t>(2,315)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82"/>
              <w:spacing w:after="0"/>
              <w:rPr>
                <w:sz w:val="20"/>
                <w:szCs w:val="20"/>
                <w:color w:val="auto"/>
              </w:rPr>
            </w:pPr>
            <w:r>
              <w:rPr>
                <w:rFonts w:ascii="Arial" w:cs="Arial" w:eastAsia="Arial" w:hAnsi="Arial"/>
                <w:sz w:val="20"/>
                <w:szCs w:val="20"/>
                <w:color w:val="auto"/>
              </w:rPr>
              <w:t>(2,472)</w:t>
            </w:r>
          </w:p>
        </w:tc>
      </w:tr>
      <w:tr>
        <w:trPr>
          <w:trHeight w:val="287"/>
        </w:trPr>
        <w:tc>
          <w:tcPr>
            <w:tcW w:w="5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Loss on early extinguishment of debt</w:t>
            </w: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3"/>
              <w:spacing w:after="0"/>
              <w:rPr>
                <w:sz w:val="20"/>
                <w:szCs w:val="20"/>
                <w:color w:val="auto"/>
              </w:rPr>
            </w:pPr>
            <w:r>
              <w:rPr>
                <w:rFonts w:ascii="Arial" w:cs="Arial" w:eastAsia="Arial" w:hAnsi="Arial"/>
                <w:sz w:val="20"/>
                <w:szCs w:val="20"/>
                <w:color w:val="auto"/>
              </w:rPr>
              <w:t>371</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2,880</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422</w:t>
            </w:r>
          </w:p>
        </w:tc>
      </w:tr>
      <w:tr>
        <w:trPr>
          <w:trHeight w:val="275"/>
        </w:trPr>
        <w:tc>
          <w:tcPr>
            <w:tcW w:w="5520" w:type="dxa"/>
            <w:vAlign w:val="bottom"/>
          </w:tcPr>
          <w:p>
            <w:pPr>
              <w:ind w:left="60"/>
              <w:spacing w:after="0"/>
              <w:rPr>
                <w:sz w:val="20"/>
                <w:szCs w:val="20"/>
                <w:color w:val="auto"/>
              </w:rPr>
            </w:pPr>
            <w:r>
              <w:rPr>
                <w:rFonts w:ascii="Arial" w:cs="Arial" w:eastAsia="Arial" w:hAnsi="Arial"/>
                <w:sz w:val="20"/>
                <w:szCs w:val="20"/>
                <w:color w:val="auto"/>
              </w:rPr>
              <w:t>Gain on sale of business</w:t>
            </w:r>
          </w:p>
        </w:tc>
        <w:tc>
          <w:tcPr>
            <w:tcW w:w="300" w:type="dxa"/>
            <w:vAlign w:val="bottom"/>
          </w:tcPr>
          <w:p>
            <w:pPr>
              <w:spacing w:after="0"/>
              <w:rPr>
                <w:sz w:val="23"/>
                <w:szCs w:val="23"/>
                <w:color w:val="auto"/>
              </w:rPr>
            </w:pPr>
          </w:p>
        </w:tc>
        <w:tc>
          <w:tcPr>
            <w:tcW w:w="1180" w:type="dxa"/>
            <w:vAlign w:val="bottom"/>
          </w:tcPr>
          <w:p>
            <w:pPr>
              <w:jc w:val="right"/>
              <w:ind w:right="14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82"/>
              <w:spacing w:after="0"/>
              <w:rPr>
                <w:sz w:val="20"/>
                <w:szCs w:val="20"/>
                <w:color w:val="auto"/>
              </w:rPr>
            </w:pPr>
            <w:r>
              <w:rPr>
                <w:rFonts w:ascii="Arial" w:cs="Arial" w:eastAsia="Arial" w:hAnsi="Arial"/>
                <w:sz w:val="20"/>
                <w:szCs w:val="20"/>
                <w:color w:val="auto"/>
              </w:rPr>
              <w:t>(8,864)</w:t>
            </w:r>
          </w:p>
        </w:tc>
      </w:tr>
      <w:tr>
        <w:trPr>
          <w:trHeight w:val="287"/>
        </w:trPr>
        <w:tc>
          <w:tcPr>
            <w:tcW w:w="5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Interest expense, net of interest income</w:t>
            </w: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3"/>
              <w:spacing w:after="0"/>
              <w:rPr>
                <w:sz w:val="20"/>
                <w:szCs w:val="20"/>
                <w:color w:val="auto"/>
              </w:rPr>
            </w:pPr>
            <w:r>
              <w:rPr>
                <w:rFonts w:ascii="Arial" w:cs="Arial" w:eastAsia="Arial" w:hAnsi="Arial"/>
                <w:sz w:val="20"/>
                <w:szCs w:val="20"/>
                <w:color w:val="auto"/>
              </w:rPr>
              <w:t>134,964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108,595</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107,663</w:t>
            </w:r>
          </w:p>
        </w:tc>
      </w:tr>
      <w:tr>
        <w:trPr>
          <w:trHeight w:val="271"/>
        </w:trPr>
        <w:tc>
          <w:tcPr>
            <w:tcW w:w="552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Provision for income taxes</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20"/>
                <w:szCs w:val="20"/>
                <w:color w:val="auto"/>
              </w:rPr>
              <w:t>131,144</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125,423</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126,254</w:t>
            </w:r>
          </w:p>
        </w:tc>
      </w:tr>
      <w:tr>
        <w:trPr>
          <w:trHeight w:val="280"/>
        </w:trPr>
        <w:tc>
          <w:tcPr>
            <w:tcW w:w="5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Adjusted EBITDA</w:t>
            </w:r>
          </w:p>
        </w:tc>
        <w:tc>
          <w:tcPr>
            <w:tcW w:w="300" w:type="dxa"/>
            <w:vAlign w:val="bottom"/>
            <w:shd w:val="clear" w:color="auto" w:fill="E6E6E6"/>
          </w:tcPr>
          <w:p>
            <w:pPr>
              <w:jc w:val="right"/>
              <w:ind w:right="61"/>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ind w:right="143"/>
              <w:spacing w:after="0"/>
              <w:rPr>
                <w:sz w:val="20"/>
                <w:szCs w:val="20"/>
                <w:color w:val="auto"/>
              </w:rPr>
            </w:pPr>
            <w:r>
              <w:rPr>
                <w:rFonts w:ascii="Arial" w:cs="Arial" w:eastAsia="Arial" w:hAnsi="Arial"/>
                <w:sz w:val="20"/>
                <w:szCs w:val="20"/>
                <w:color w:val="auto"/>
              </w:rPr>
              <w:t>1,116,934</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1,012,570</w:t>
            </w:r>
          </w:p>
        </w:tc>
        <w:tc>
          <w:tcPr>
            <w:tcW w:w="380" w:type="dxa"/>
            <w:vAlign w:val="bottom"/>
            <w:gridSpan w:val="2"/>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1,022,128</w:t>
            </w:r>
          </w:p>
        </w:tc>
      </w:tr>
      <w:tr>
        <w:trPr>
          <w:trHeight w:val="258"/>
        </w:trPr>
        <w:tc>
          <w:tcPr>
            <w:tcW w:w="5520" w:type="dxa"/>
            <w:vAlign w:val="bottom"/>
            <w:tcBorders>
              <w:top w:val="single" w:sz="8" w:color="E6E6E6"/>
            </w:tcBorders>
          </w:tcPr>
          <w:p>
            <w:pPr>
              <w:ind w:left="60"/>
              <w:spacing w:after="0"/>
              <w:rPr>
                <w:sz w:val="20"/>
                <w:szCs w:val="20"/>
                <w:color w:val="auto"/>
              </w:rPr>
            </w:pPr>
            <w:r>
              <w:rPr>
                <w:rFonts w:ascii="Arial" w:cs="Arial" w:eastAsia="Arial" w:hAnsi="Arial"/>
                <w:sz w:val="20"/>
                <w:szCs w:val="20"/>
                <w:color w:val="auto"/>
              </w:rPr>
              <w:t>As a % of Direct revenues</w:t>
            </w: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19.0 %</w:t>
            </w:r>
          </w:p>
        </w:tc>
        <w:tc>
          <w:tcPr>
            <w:tcW w:w="60" w:type="dxa"/>
            <w:vAlign w:val="bottom"/>
            <w:tcBorders>
              <w:top w:val="single" w:sz="8" w:color="E6E6E6"/>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18.7 %</w:t>
            </w:r>
          </w:p>
        </w:tc>
        <w:tc>
          <w:tcPr>
            <w:tcW w:w="80" w:type="dxa"/>
            <w:vAlign w:val="bottom"/>
            <w:tcBorders>
              <w:top w:val="single" w:sz="8" w:color="E6E6E6"/>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19.8 %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-207645</wp:posOffset>
            </wp:positionV>
            <wp:extent cx="2933700" cy="50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33700" cy="50165"/>
                    </a:xfrm>
                    <a:prstGeom prst="rect">
                      <a:avLst/>
                    </a:prstGeom>
                    <a:noFill/>
                  </pic:spPr>
                </pic:pic>
              </a:graphicData>
            </a:graphic>
          </wp:anchor>
        </w:drawing>
      </w:r>
    </w:p>
    <w:p>
      <w:pPr>
        <w:sectPr>
          <w:pgSz w:w="11880" w:h="15480" w:orient="portrait"/>
          <w:cols w:equalWidth="0" w:num="1">
            <w:col w:w="10100"/>
          </w:cols>
          <w:pgMar w:left="880" w:top="5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880" w:h="15480" w:orient="portrait"/>
          <w:cols w:equalWidth="0" w:num="1">
            <w:col w:w="10100"/>
          </w:cols>
          <w:pgMar w:left="880" w:top="575" w:right="90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2024 over 2023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8"/>
                <w:szCs w:val="18"/>
                <w:b w:val="1"/>
                <w:bCs w:val="1"/>
                <w:color w:val="auto"/>
              </w:rPr>
              <w:t>2023 over 2022</w:t>
            </w:r>
          </w:p>
        </w:tc>
      </w:tr>
      <w:tr>
        <w:trPr>
          <w:trHeight w:val="408"/>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 thousands, except percentages)</w:t>
            </w:r>
          </w:p>
        </w:tc>
        <w:tc>
          <w:tcPr>
            <w:tcW w:w="80" w:type="dxa"/>
            <w:vAlign w:val="bottom"/>
            <w:tcBorders>
              <w:bottom w:val="single" w:sz="8" w:color="E6E6E6"/>
            </w:tcBorders>
          </w:tcPr>
          <w:p>
            <w:pPr>
              <w:spacing w:after="0"/>
              <w:rPr>
                <w:sz w:val="24"/>
                <w:szCs w:val="24"/>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E6E6E6"/>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80" w:type="dxa"/>
            <w:vAlign w:val="bottom"/>
            <w:tcBorders>
              <w:bottom w:val="single" w:sz="8" w:color="E6E6E6"/>
            </w:tcBorders>
          </w:tcPr>
          <w:p>
            <w:pPr>
              <w:spacing w:after="0"/>
              <w:rPr>
                <w:sz w:val="24"/>
                <w:szCs w:val="24"/>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Change</w:t>
            </w:r>
          </w:p>
        </w:tc>
        <w:tc>
          <w:tcPr>
            <w:tcW w:w="80" w:type="dxa"/>
            <w:vAlign w:val="bottom"/>
            <w:tcBorders>
              <w:bottom w:val="single" w:sz="8" w:color="E6E6E6"/>
            </w:tcBorders>
          </w:tcPr>
          <w:p>
            <w:pPr>
              <w:spacing w:after="0"/>
              <w:rPr>
                <w:sz w:val="24"/>
                <w:szCs w:val="24"/>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6"/>
              </w:rPr>
              <w:t>% Change</w:t>
            </w: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Borders>
              <w:bottom w:val="single" w:sz="8" w:color="E6E6E6"/>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Change</w:t>
            </w:r>
          </w:p>
        </w:tc>
      </w:tr>
      <w:tr>
        <w:trPr>
          <w:trHeight w:val="271"/>
        </w:trPr>
        <w:tc>
          <w:tcPr>
            <w:tcW w:w="31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Stock-based compensation</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  27,981</w:t>
            </w:r>
          </w:p>
        </w:tc>
        <w:tc>
          <w:tcPr>
            <w:tcW w:w="100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93"/>
              </w:rPr>
              <w:t>$  20,703</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  26,844</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shd w:val="clear" w:color="auto" w:fill="E6E6E6"/>
          </w:tcPr>
          <w:p>
            <w:pPr>
              <w:ind w:left="240"/>
              <w:spacing w:after="0"/>
              <w:rPr>
                <w:sz w:val="20"/>
                <w:szCs w:val="20"/>
                <w:color w:val="auto"/>
              </w:rPr>
            </w:pPr>
            <w:r>
              <w:rPr>
                <w:rFonts w:ascii="Arial" w:cs="Arial" w:eastAsia="Arial" w:hAnsi="Arial"/>
                <w:sz w:val="20"/>
                <w:szCs w:val="20"/>
                <w:color w:val="auto"/>
                <w:w w:val="99"/>
              </w:rPr>
              <w:t>7,278</w:t>
            </w:r>
          </w:p>
        </w:tc>
        <w:tc>
          <w:tcPr>
            <w:tcW w:w="1240" w:type="dxa"/>
            <w:vAlign w:val="bottom"/>
            <w:gridSpan w:val="4"/>
            <w:shd w:val="clear" w:color="auto" w:fill="E6E6E6"/>
          </w:tcPr>
          <w:p>
            <w:pPr>
              <w:jc w:val="right"/>
              <w:ind w:right="20"/>
              <w:spacing w:after="0"/>
              <w:rPr>
                <w:sz w:val="20"/>
                <w:szCs w:val="20"/>
                <w:color w:val="auto"/>
              </w:rPr>
            </w:pPr>
            <w:r>
              <w:rPr>
                <w:rFonts w:ascii="Arial" w:cs="Arial" w:eastAsia="Arial" w:hAnsi="Arial"/>
                <w:sz w:val="20"/>
                <w:szCs w:val="20"/>
                <w:color w:val="auto"/>
              </w:rPr>
              <w:t>35.2 %  $</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(6,141)</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(22.9)%</w:t>
            </w:r>
          </w:p>
        </w:tc>
      </w:tr>
    </w:tbl>
    <w:p>
      <w:pPr>
        <w:spacing w:after="0" w:line="155" w:lineRule="exact"/>
        <w:rPr>
          <w:sz w:val="20"/>
          <w:szCs w:val="20"/>
          <w:color w:val="auto"/>
        </w:rPr>
      </w:pPr>
    </w:p>
    <w:p>
      <w:pPr>
        <w:ind w:right="180" w:firstLine="709"/>
        <w:spacing w:after="0" w:line="261" w:lineRule="auto"/>
        <w:rPr>
          <w:sz w:val="20"/>
          <w:szCs w:val="20"/>
          <w:color w:val="auto"/>
        </w:rPr>
      </w:pPr>
      <w:r>
        <w:rPr>
          <w:rFonts w:ascii="Arial" w:cs="Arial" w:eastAsia="Arial" w:hAnsi="Arial"/>
          <w:sz w:val="20"/>
          <w:szCs w:val="20"/>
          <w:color w:val="auto"/>
        </w:rPr>
        <w:t>Stock-based compensation for the year ended December 31, 2024 increased $7.3 million from the comparable period in 2023. This increase was driven by recent stock price appreciation and higher expenses related to the achievement of performance metrics in 2024.</w:t>
      </w:r>
    </w:p>
    <w:p>
      <w:pPr>
        <w:spacing w:after="0" w:line="77" w:lineRule="exact"/>
        <w:rPr>
          <w:sz w:val="20"/>
          <w:szCs w:val="20"/>
          <w:color w:val="auto"/>
        </w:rPr>
      </w:pPr>
    </w:p>
    <w:p>
      <w:pPr>
        <w:ind w:right="140" w:firstLine="709"/>
        <w:spacing w:after="0" w:line="261" w:lineRule="auto"/>
        <w:rPr>
          <w:sz w:val="20"/>
          <w:szCs w:val="20"/>
          <w:color w:val="auto"/>
        </w:rPr>
      </w:pPr>
      <w:r>
        <w:rPr>
          <w:rFonts w:ascii="Arial" w:cs="Arial" w:eastAsia="Arial" w:hAnsi="Arial"/>
          <w:sz w:val="20"/>
          <w:szCs w:val="20"/>
          <w:color w:val="auto"/>
        </w:rPr>
        <w:t>Stock-based compensation for the year ended December 31, 2023 decreased $6.1 million from the comparable period in 2022. This reduction was due to certain performance targets not being met in 2023, leading to lower share-based compensation costs compared with 2022.</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Depreciation and Amortization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244"/>
              <w:spacing w:after="0"/>
              <w:rPr>
                <w:sz w:val="20"/>
                <w:szCs w:val="20"/>
                <w:color w:val="auto"/>
              </w:rPr>
            </w:pPr>
            <w:r>
              <w:rPr>
                <w:rFonts w:ascii="Arial" w:cs="Arial" w:eastAsia="Arial" w:hAnsi="Arial"/>
                <w:sz w:val="18"/>
                <w:szCs w:val="18"/>
                <w:b w:val="1"/>
                <w:bCs w:val="1"/>
                <w:color w:val="auto"/>
                <w:w w:val="91"/>
              </w:rPr>
              <w:t>For the years ended December 31,</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2024 over 2023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159"/>
        </w:trPr>
        <w:tc>
          <w:tcPr>
            <w:tcW w:w="2880" w:type="dxa"/>
            <w:vAlign w:val="bottom"/>
            <w:vMerge w:val="restart"/>
          </w:tcPr>
          <w:p>
            <w:pPr>
              <w:ind w:left="60"/>
              <w:spacing w:after="0"/>
              <w:rPr>
                <w:sz w:val="20"/>
                <w:szCs w:val="20"/>
                <w:color w:val="auto"/>
              </w:rPr>
            </w:pPr>
            <w:r>
              <w:rPr>
                <w:rFonts w:ascii="Arial" w:cs="Arial" w:eastAsia="Arial" w:hAnsi="Arial"/>
                <w:sz w:val="18"/>
                <w:szCs w:val="18"/>
                <w:color w:val="auto"/>
                <w:w w:val="99"/>
              </w:rPr>
              <w:t>(in thousands, except percentages)</w:t>
            </w:r>
          </w:p>
        </w:tc>
        <w:tc>
          <w:tcPr>
            <w:tcW w:w="8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65"/>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44"/>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44"/>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45"/>
              <w:spacing w:after="0"/>
              <w:rPr>
                <w:sz w:val="20"/>
                <w:szCs w:val="20"/>
                <w:color w:val="auto"/>
              </w:rPr>
            </w:pPr>
            <w:r>
              <w:rPr>
                <w:rFonts w:ascii="Arial" w:cs="Arial" w:eastAsia="Arial" w:hAnsi="Arial"/>
                <w:sz w:val="18"/>
                <w:szCs w:val="18"/>
                <w:b w:val="1"/>
                <w:bCs w:val="1"/>
                <w:color w:val="auto"/>
                <w:w w:val="87"/>
              </w:rPr>
              <w:t>Change</w:t>
            </w:r>
          </w:p>
        </w:tc>
        <w:tc>
          <w:tcPr>
            <w:tcW w:w="960" w:type="dxa"/>
            <w:vAlign w:val="bottom"/>
            <w:gridSpan w:val="2"/>
          </w:tcPr>
          <w:p>
            <w:pPr>
              <w:jc w:val="right"/>
              <w:ind w:right="271"/>
              <w:spacing w:after="0" w:line="159"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45"/>
              <w:spacing w:after="0"/>
              <w:rPr>
                <w:sz w:val="20"/>
                <w:szCs w:val="20"/>
                <w:color w:val="auto"/>
              </w:rPr>
            </w:pPr>
            <w:r>
              <w:rPr>
                <w:rFonts w:ascii="Arial" w:cs="Arial" w:eastAsia="Arial" w:hAnsi="Arial"/>
                <w:sz w:val="18"/>
                <w:szCs w:val="18"/>
                <w:b w:val="1"/>
                <w:bCs w:val="1"/>
                <w:color w:val="auto"/>
                <w:w w:val="87"/>
              </w:rPr>
              <w:t>Change</w:t>
            </w:r>
          </w:p>
        </w:tc>
        <w:tc>
          <w:tcPr>
            <w:tcW w:w="960" w:type="dxa"/>
            <w:vAlign w:val="bottom"/>
            <w:gridSpan w:val="2"/>
          </w:tcPr>
          <w:p>
            <w:pPr>
              <w:jc w:val="right"/>
              <w:ind w:right="266"/>
              <w:spacing w:after="0" w:line="15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2960" w:type="dxa"/>
            <w:vAlign w:val="bottom"/>
            <w:gridSpan w:val="2"/>
            <w:shd w:val="clear" w:color="auto" w:fill="E6E6E6"/>
          </w:tcPr>
          <w:p>
            <w:pPr>
              <w:ind w:left="60"/>
              <w:spacing w:after="0" w:line="218" w:lineRule="exact"/>
              <w:rPr>
                <w:sz w:val="20"/>
                <w:szCs w:val="20"/>
                <w:color w:val="auto"/>
              </w:rPr>
            </w:pPr>
            <w:r>
              <w:rPr>
                <w:rFonts w:ascii="Arial" w:cs="Arial" w:eastAsia="Arial" w:hAnsi="Arial"/>
                <w:sz w:val="20"/>
                <w:szCs w:val="20"/>
                <w:color w:val="auto"/>
              </w:rPr>
              <w:t>Depreciation of fixed assets and</w:t>
            </w:r>
          </w:p>
        </w:tc>
        <w:tc>
          <w:tcPr>
            <w:tcW w:w="2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E6E6E6"/>
          </w:tcPr>
          <w:p>
            <w:pPr>
              <w:ind w:left="60"/>
              <w:spacing w:after="0" w:line="197" w:lineRule="exact"/>
              <w:rPr>
                <w:sz w:val="20"/>
                <w:szCs w:val="20"/>
                <w:color w:val="auto"/>
              </w:rPr>
            </w:pPr>
            <w:r>
              <w:rPr>
                <w:rFonts w:ascii="Arial" w:cs="Arial" w:eastAsia="Arial" w:hAnsi="Arial"/>
                <w:sz w:val="20"/>
                <w:szCs w:val="20"/>
                <w:color w:val="auto"/>
              </w:rPr>
              <w:t>amortization of landfills and</w:t>
            </w:r>
          </w:p>
        </w:tc>
        <w:tc>
          <w:tcPr>
            <w:tcW w:w="2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9"/>
              </w:rPr>
              <w:t>346,536</w:t>
            </w:r>
          </w:p>
        </w:tc>
        <w:tc>
          <w:tcPr>
            <w:tcW w:w="30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6"/>
              </w:rPr>
              <w:t>315,499</w:t>
            </w:r>
          </w:p>
        </w:tc>
        <w:tc>
          <w:tcPr>
            <w:tcW w:w="320" w:type="dxa"/>
            <w:vAlign w:val="bottom"/>
            <w:gridSpan w:val="2"/>
            <w:vMerge w:val="restart"/>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6"/>
              </w:rPr>
              <w:t>297,357</w:t>
            </w:r>
          </w:p>
        </w:tc>
        <w:tc>
          <w:tcPr>
            <w:tcW w:w="24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31,037</w:t>
            </w:r>
          </w:p>
        </w:tc>
        <w:tc>
          <w:tcPr>
            <w:tcW w:w="960" w:type="dxa"/>
            <w:vAlign w:val="bottom"/>
            <w:gridSpan w:val="2"/>
            <w:vMerge w:val="restart"/>
            <w:shd w:val="clear" w:color="auto" w:fill="E6E6E6"/>
          </w:tcPr>
          <w:p>
            <w:pPr>
              <w:ind w:left="460"/>
              <w:spacing w:after="0"/>
              <w:rPr>
                <w:sz w:val="20"/>
                <w:szCs w:val="20"/>
                <w:color w:val="auto"/>
              </w:rPr>
            </w:pPr>
            <w:r>
              <w:rPr>
                <w:rFonts w:ascii="Arial" w:cs="Arial" w:eastAsia="Arial" w:hAnsi="Arial"/>
                <w:sz w:val="20"/>
                <w:szCs w:val="20"/>
                <w:color w:val="auto"/>
                <w:w w:val="93"/>
              </w:rPr>
              <w:t>9.8 %</w:t>
            </w:r>
          </w:p>
        </w:tc>
        <w:tc>
          <w:tcPr>
            <w:tcW w:w="24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18,142</w:t>
            </w:r>
          </w:p>
        </w:tc>
        <w:tc>
          <w:tcPr>
            <w:tcW w:w="96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6.1 %</w:t>
            </w:r>
          </w:p>
        </w:tc>
        <w:tc>
          <w:tcPr>
            <w:tcW w:w="0" w:type="dxa"/>
            <w:vAlign w:val="bottom"/>
          </w:tcPr>
          <w:p>
            <w:pPr>
              <w:spacing w:after="0"/>
              <w:rPr>
                <w:sz w:val="1"/>
                <w:szCs w:val="1"/>
                <w:color w:val="auto"/>
              </w:rPr>
            </w:pPr>
          </w:p>
        </w:tc>
      </w:tr>
      <w:tr>
        <w:trPr>
          <w:trHeight w:val="269"/>
        </w:trPr>
        <w:tc>
          <w:tcPr>
            <w:tcW w:w="29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finance leases</w:t>
            </w:r>
          </w:p>
        </w:tc>
        <w:tc>
          <w:tcPr>
            <w:tcW w:w="240" w:type="dxa"/>
            <w:vAlign w:val="bottom"/>
            <w:vMerge w:val="continue"/>
            <w:shd w:val="clear" w:color="auto" w:fill="E6E6E6"/>
          </w:tcPr>
          <w:p>
            <w:pPr>
              <w:spacing w:after="0"/>
              <w:rPr>
                <w:sz w:val="23"/>
                <w:szCs w:val="23"/>
                <w:color w:val="auto"/>
              </w:rPr>
            </w:pPr>
          </w:p>
        </w:tc>
        <w:tc>
          <w:tcPr>
            <w:tcW w:w="820" w:type="dxa"/>
            <w:vAlign w:val="bottom"/>
            <w:vMerge w:val="continue"/>
            <w:shd w:val="clear" w:color="auto" w:fill="E6E6E6"/>
          </w:tcPr>
          <w:p>
            <w:pPr>
              <w:spacing w:after="0"/>
              <w:rPr>
                <w:sz w:val="23"/>
                <w:szCs w:val="23"/>
                <w:color w:val="auto"/>
              </w:rPr>
            </w:pPr>
          </w:p>
        </w:tc>
        <w:tc>
          <w:tcPr>
            <w:tcW w:w="300" w:type="dxa"/>
            <w:vAlign w:val="bottom"/>
            <w:gridSpan w:val="2"/>
            <w:vMerge w:val="continue"/>
            <w:shd w:val="clear" w:color="auto" w:fill="E6E6E6"/>
          </w:tcPr>
          <w:p>
            <w:pPr>
              <w:spacing w:after="0"/>
              <w:rPr>
                <w:sz w:val="23"/>
                <w:szCs w:val="23"/>
                <w:color w:val="auto"/>
              </w:rPr>
            </w:pPr>
          </w:p>
        </w:tc>
        <w:tc>
          <w:tcPr>
            <w:tcW w:w="800" w:type="dxa"/>
            <w:vAlign w:val="bottom"/>
            <w:vMerge w:val="continue"/>
            <w:shd w:val="clear" w:color="auto" w:fill="E6E6E6"/>
          </w:tcPr>
          <w:p>
            <w:pPr>
              <w:spacing w:after="0"/>
              <w:rPr>
                <w:sz w:val="23"/>
                <w:szCs w:val="23"/>
                <w:color w:val="auto"/>
              </w:rPr>
            </w:pPr>
          </w:p>
        </w:tc>
        <w:tc>
          <w:tcPr>
            <w:tcW w:w="320" w:type="dxa"/>
            <w:vAlign w:val="bottom"/>
            <w:gridSpan w:val="2"/>
            <w:vMerge w:val="continue"/>
            <w:shd w:val="clear" w:color="auto" w:fill="E6E6E6"/>
          </w:tcPr>
          <w:p>
            <w:pPr>
              <w:spacing w:after="0"/>
              <w:rPr>
                <w:sz w:val="23"/>
                <w:szCs w:val="23"/>
                <w:color w:val="auto"/>
              </w:rPr>
            </w:pPr>
          </w:p>
        </w:tc>
        <w:tc>
          <w:tcPr>
            <w:tcW w:w="800" w:type="dxa"/>
            <w:vAlign w:val="bottom"/>
            <w:vMerge w:val="continue"/>
            <w:shd w:val="clear" w:color="auto" w:fill="E6E6E6"/>
          </w:tcPr>
          <w:p>
            <w:pPr>
              <w:spacing w:after="0"/>
              <w:rPr>
                <w:sz w:val="23"/>
                <w:szCs w:val="23"/>
                <w:color w:val="auto"/>
              </w:rPr>
            </w:pPr>
          </w:p>
        </w:tc>
        <w:tc>
          <w:tcPr>
            <w:tcW w:w="240" w:type="dxa"/>
            <w:vAlign w:val="bottom"/>
            <w:gridSpan w:val="2"/>
            <w:vMerge w:val="continue"/>
            <w:shd w:val="clear" w:color="auto" w:fill="E6E6E6"/>
          </w:tcPr>
          <w:p>
            <w:pPr>
              <w:spacing w:after="0"/>
              <w:rPr>
                <w:sz w:val="23"/>
                <w:szCs w:val="23"/>
                <w:color w:val="auto"/>
              </w:rPr>
            </w:pPr>
          </w:p>
        </w:tc>
        <w:tc>
          <w:tcPr>
            <w:tcW w:w="740" w:type="dxa"/>
            <w:vAlign w:val="bottom"/>
            <w:vMerge w:val="continue"/>
            <w:shd w:val="clear" w:color="auto" w:fill="E6E6E6"/>
          </w:tcPr>
          <w:p>
            <w:pPr>
              <w:spacing w:after="0"/>
              <w:rPr>
                <w:sz w:val="23"/>
                <w:szCs w:val="23"/>
                <w:color w:val="auto"/>
              </w:rPr>
            </w:pPr>
          </w:p>
        </w:tc>
        <w:tc>
          <w:tcPr>
            <w:tcW w:w="960" w:type="dxa"/>
            <w:vAlign w:val="bottom"/>
            <w:gridSpan w:val="2"/>
            <w:vMerge w:val="continue"/>
            <w:shd w:val="clear" w:color="auto" w:fill="E6E6E6"/>
          </w:tcPr>
          <w:p>
            <w:pPr>
              <w:spacing w:after="0"/>
              <w:rPr>
                <w:sz w:val="23"/>
                <w:szCs w:val="23"/>
                <w:color w:val="auto"/>
              </w:rPr>
            </w:pPr>
          </w:p>
        </w:tc>
        <w:tc>
          <w:tcPr>
            <w:tcW w:w="240" w:type="dxa"/>
            <w:vAlign w:val="bottom"/>
            <w:gridSpan w:val="2"/>
            <w:vMerge w:val="continue"/>
            <w:shd w:val="clear" w:color="auto" w:fill="E6E6E6"/>
          </w:tcPr>
          <w:p>
            <w:pPr>
              <w:spacing w:after="0"/>
              <w:rPr>
                <w:sz w:val="23"/>
                <w:szCs w:val="23"/>
                <w:color w:val="auto"/>
              </w:rPr>
            </w:pPr>
          </w:p>
        </w:tc>
        <w:tc>
          <w:tcPr>
            <w:tcW w:w="740" w:type="dxa"/>
            <w:vAlign w:val="bottom"/>
            <w:vMerge w:val="continue"/>
            <w:shd w:val="clear" w:color="auto" w:fill="E6E6E6"/>
          </w:tcPr>
          <w:p>
            <w:pPr>
              <w:spacing w:after="0"/>
              <w:rPr>
                <w:sz w:val="23"/>
                <w:szCs w:val="23"/>
                <w:color w:val="auto"/>
              </w:rPr>
            </w:pPr>
          </w:p>
        </w:tc>
        <w:tc>
          <w:tcPr>
            <w:tcW w:w="960" w:type="dxa"/>
            <w:vAlign w:val="bottom"/>
            <w:gridSpan w:val="2"/>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960" w:type="dxa"/>
            <w:vAlign w:val="bottom"/>
            <w:gridSpan w:val="2"/>
          </w:tcPr>
          <w:p>
            <w:pPr>
              <w:ind w:left="60"/>
              <w:spacing w:after="0" w:line="219" w:lineRule="exact"/>
              <w:rPr>
                <w:sz w:val="20"/>
                <w:szCs w:val="20"/>
                <w:color w:val="auto"/>
              </w:rPr>
            </w:pPr>
            <w:r>
              <w:rPr>
                <w:rFonts w:ascii="Arial" w:cs="Arial" w:eastAsia="Arial" w:hAnsi="Arial"/>
                <w:sz w:val="20"/>
                <w:szCs w:val="20"/>
                <w:color w:val="auto"/>
              </w:rPr>
              <w:t>Permits and other intangibles</w:t>
            </w:r>
          </w:p>
        </w:tc>
        <w:tc>
          <w:tcPr>
            <w:tcW w:w="2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54,386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50,262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50,237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4,124</w:t>
            </w:r>
          </w:p>
        </w:tc>
        <w:tc>
          <w:tcPr>
            <w:tcW w:w="960" w:type="dxa"/>
            <w:vAlign w:val="bottom"/>
            <w:gridSpan w:val="2"/>
            <w:vMerge w:val="restart"/>
          </w:tcPr>
          <w:p>
            <w:pPr>
              <w:ind w:left="460"/>
              <w:spacing w:after="0"/>
              <w:rPr>
                <w:sz w:val="20"/>
                <w:szCs w:val="20"/>
                <w:color w:val="auto"/>
              </w:rPr>
            </w:pPr>
            <w:r>
              <w:rPr>
                <w:rFonts w:ascii="Arial" w:cs="Arial" w:eastAsia="Arial" w:hAnsi="Arial"/>
                <w:sz w:val="20"/>
                <w:szCs w:val="20"/>
                <w:color w:val="auto"/>
              </w:rPr>
              <w:t>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60" w:type="dxa"/>
            <w:vAlign w:val="bottom"/>
          </w:tcPr>
          <w:p>
            <w:pPr>
              <w:spacing w:after="0"/>
              <w:rPr>
                <w:sz w:val="19"/>
                <w:szCs w:val="19"/>
                <w:color w:val="auto"/>
              </w:rPr>
            </w:pPr>
          </w:p>
        </w:tc>
        <w:tc>
          <w:tcPr>
            <w:tcW w:w="900" w:type="dxa"/>
            <w:vAlign w:val="bottom"/>
            <w:vMerge w:val="restart"/>
          </w:tcPr>
          <w:p>
            <w:pPr>
              <w:jc w:val="right"/>
              <w:ind w:right="166"/>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2960" w:type="dxa"/>
            <w:vAlign w:val="bottom"/>
            <w:tcBorders>
              <w:bottom w:val="single" w:sz="8" w:color="E6E6E6"/>
            </w:tcBorders>
            <w:gridSpan w:val="2"/>
          </w:tcPr>
          <w:p>
            <w:pPr>
              <w:ind w:left="60"/>
              <w:spacing w:after="0"/>
              <w:rPr>
                <w:sz w:val="20"/>
                <w:szCs w:val="20"/>
                <w:color w:val="auto"/>
              </w:rPr>
            </w:pPr>
            <w:r>
              <w:rPr>
                <w:rFonts w:ascii="Arial" w:cs="Arial" w:eastAsia="Arial" w:hAnsi="Arial"/>
                <w:sz w:val="20"/>
                <w:szCs w:val="20"/>
                <w:color w:val="auto"/>
              </w:rPr>
              <w:t>amortization</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E6E6E6"/>
            </w:tcBorders>
            <w:gridSpan w:val="2"/>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900" w:type="dxa"/>
            <w:vAlign w:val="bottom"/>
            <w:tcBorders>
              <w:bottom w:val="single" w:sz="8" w:color="E6E6E6"/>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9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Total depreciation and</w:t>
            </w:r>
          </w:p>
        </w:tc>
        <w:tc>
          <w:tcPr>
            <w:tcW w:w="2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9"/>
              </w:rPr>
              <w:t>400,922</w:t>
            </w:r>
          </w:p>
        </w:tc>
        <w:tc>
          <w:tcPr>
            <w:tcW w:w="60" w:type="dxa"/>
            <w:vAlign w:val="bottom"/>
            <w:vMerge w:val="restart"/>
            <w:shd w:val="clear" w:color="auto" w:fill="E6E6E6"/>
          </w:tcPr>
          <w:p>
            <w:pPr>
              <w:spacing w:after="0"/>
              <w:rPr>
                <w:sz w:val="22"/>
                <w:szCs w:val="22"/>
                <w:color w:val="auto"/>
              </w:rPr>
            </w:pPr>
          </w:p>
        </w:tc>
        <w:tc>
          <w:tcPr>
            <w:tcW w:w="2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6"/>
              </w:rPr>
              <w:t>365,761</w:t>
            </w:r>
          </w:p>
        </w:tc>
        <w:tc>
          <w:tcPr>
            <w:tcW w:w="80" w:type="dxa"/>
            <w:vAlign w:val="bottom"/>
            <w:vMerge w:val="restart"/>
            <w:shd w:val="clear" w:color="auto" w:fill="E6E6E6"/>
          </w:tcPr>
          <w:p>
            <w:pPr>
              <w:spacing w:after="0"/>
              <w:rPr>
                <w:sz w:val="22"/>
                <w:szCs w:val="22"/>
                <w:color w:val="auto"/>
              </w:rPr>
            </w:pPr>
          </w:p>
        </w:tc>
        <w:tc>
          <w:tcPr>
            <w:tcW w:w="240" w:type="dxa"/>
            <w:vAlign w:val="bottom"/>
            <w:vMerge w:val="restart"/>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6"/>
              </w:rPr>
              <w:t>347,594</w:t>
            </w:r>
          </w:p>
        </w:tc>
        <w:tc>
          <w:tcPr>
            <w:tcW w:w="80" w:type="dxa"/>
            <w:vAlign w:val="bottom"/>
            <w:vMerge w:val="restart"/>
            <w:shd w:val="clear" w:color="auto" w:fill="E6E6E6"/>
          </w:tcPr>
          <w:p>
            <w:pPr>
              <w:spacing w:after="0"/>
              <w:rPr>
                <w:sz w:val="22"/>
                <w:szCs w:val="22"/>
                <w:color w:val="auto"/>
              </w:rPr>
            </w:pPr>
          </w:p>
        </w:tc>
        <w:tc>
          <w:tcPr>
            <w:tcW w:w="1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35,161</w:t>
            </w:r>
          </w:p>
        </w:tc>
        <w:tc>
          <w:tcPr>
            <w:tcW w:w="960" w:type="dxa"/>
            <w:vAlign w:val="bottom"/>
            <w:gridSpan w:val="2"/>
            <w:vMerge w:val="restart"/>
            <w:shd w:val="clear" w:color="auto" w:fill="E6E6E6"/>
          </w:tcPr>
          <w:p>
            <w:pPr>
              <w:ind w:left="460"/>
              <w:spacing w:after="0"/>
              <w:rPr>
                <w:sz w:val="20"/>
                <w:szCs w:val="20"/>
                <w:color w:val="auto"/>
              </w:rPr>
            </w:pPr>
            <w:r>
              <w:rPr>
                <w:rFonts w:ascii="Arial" w:cs="Arial" w:eastAsia="Arial" w:hAnsi="Arial"/>
                <w:sz w:val="20"/>
                <w:szCs w:val="20"/>
                <w:color w:val="auto"/>
                <w:w w:val="93"/>
              </w:rPr>
              <w:t>9.6 %</w:t>
            </w:r>
          </w:p>
        </w:tc>
        <w:tc>
          <w:tcPr>
            <w:tcW w:w="80" w:type="dxa"/>
            <w:vAlign w:val="bottom"/>
            <w:vMerge w:val="restart"/>
            <w:shd w:val="clear" w:color="auto" w:fill="E6E6E6"/>
          </w:tcPr>
          <w:p>
            <w:pPr>
              <w:spacing w:after="0"/>
              <w:rPr>
                <w:sz w:val="22"/>
                <w:szCs w:val="22"/>
                <w:color w:val="auto"/>
              </w:rPr>
            </w:pPr>
          </w:p>
        </w:tc>
        <w:tc>
          <w:tcPr>
            <w:tcW w:w="1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18,167</w:t>
            </w:r>
          </w:p>
        </w:tc>
        <w:tc>
          <w:tcPr>
            <w:tcW w:w="96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5.2 %</w:t>
            </w:r>
          </w:p>
        </w:tc>
        <w:tc>
          <w:tcPr>
            <w:tcW w:w="0" w:type="dxa"/>
            <w:vAlign w:val="bottom"/>
          </w:tcPr>
          <w:p>
            <w:pPr>
              <w:spacing w:after="0"/>
              <w:rPr>
                <w:sz w:val="1"/>
                <w:szCs w:val="1"/>
                <w:color w:val="auto"/>
              </w:rPr>
            </w:pPr>
          </w:p>
        </w:tc>
      </w:tr>
      <w:tr>
        <w:trPr>
          <w:trHeight w:val="278"/>
        </w:trPr>
        <w:tc>
          <w:tcPr>
            <w:tcW w:w="296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20"/>
                <w:szCs w:val="20"/>
                <w:color w:val="auto"/>
              </w:rPr>
              <w:t>amortization</w:t>
            </w:r>
          </w:p>
        </w:tc>
        <w:tc>
          <w:tcPr>
            <w:tcW w:w="240" w:type="dxa"/>
            <w:vAlign w:val="bottom"/>
            <w:tcBorders>
              <w:bottom w:val="single" w:sz="8" w:color="auto"/>
            </w:tcBorders>
            <w:vMerge w:val="continue"/>
            <w:shd w:val="clear" w:color="auto" w:fill="E6E6E6"/>
          </w:tcPr>
          <w:p>
            <w:pPr>
              <w:spacing w:after="0"/>
              <w:rPr>
                <w:sz w:val="24"/>
                <w:szCs w:val="24"/>
                <w:color w:val="auto"/>
              </w:rPr>
            </w:pPr>
          </w:p>
        </w:tc>
        <w:tc>
          <w:tcPr>
            <w:tcW w:w="82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vMerge w:val="continue"/>
            <w:shd w:val="clear" w:color="auto" w:fill="E6E6E6"/>
          </w:tcPr>
          <w:p>
            <w:pPr>
              <w:spacing w:after="0"/>
              <w:rPr>
                <w:sz w:val="24"/>
                <w:szCs w:val="24"/>
                <w:color w:val="auto"/>
              </w:rPr>
            </w:pPr>
          </w:p>
        </w:tc>
        <w:tc>
          <w:tcPr>
            <w:tcW w:w="240" w:type="dxa"/>
            <w:vAlign w:val="bottom"/>
            <w:tcBorders>
              <w:bottom w:val="single" w:sz="8" w:color="auto"/>
            </w:tcBorders>
            <w:vMerge w:val="continue"/>
            <w:shd w:val="clear" w:color="auto" w:fill="E6E6E6"/>
          </w:tcPr>
          <w:p>
            <w:pPr>
              <w:spacing w:after="0"/>
              <w:rPr>
                <w:sz w:val="24"/>
                <w:szCs w:val="24"/>
                <w:color w:val="auto"/>
              </w:rPr>
            </w:pPr>
          </w:p>
        </w:tc>
        <w:tc>
          <w:tcPr>
            <w:tcW w:w="80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vMerge w:val="continue"/>
            <w:shd w:val="clear" w:color="auto" w:fill="E6E6E6"/>
          </w:tcPr>
          <w:p>
            <w:pPr>
              <w:spacing w:after="0"/>
              <w:rPr>
                <w:sz w:val="24"/>
                <w:szCs w:val="24"/>
                <w:color w:val="auto"/>
              </w:rPr>
            </w:pPr>
          </w:p>
        </w:tc>
        <w:tc>
          <w:tcPr>
            <w:tcW w:w="240" w:type="dxa"/>
            <w:vAlign w:val="bottom"/>
            <w:tcBorders>
              <w:bottom w:val="single" w:sz="8" w:color="auto"/>
            </w:tcBorders>
            <w:vMerge w:val="continue"/>
            <w:shd w:val="clear" w:color="auto" w:fill="E6E6E6"/>
          </w:tcPr>
          <w:p>
            <w:pPr>
              <w:spacing w:after="0"/>
              <w:rPr>
                <w:sz w:val="24"/>
                <w:szCs w:val="24"/>
                <w:color w:val="auto"/>
              </w:rPr>
            </w:pPr>
          </w:p>
        </w:tc>
        <w:tc>
          <w:tcPr>
            <w:tcW w:w="80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vMerge w:val="continue"/>
            <w:shd w:val="clear" w:color="auto" w:fill="E6E6E6"/>
          </w:tcPr>
          <w:p>
            <w:pPr>
              <w:spacing w:after="0"/>
              <w:rPr>
                <w:sz w:val="24"/>
                <w:szCs w:val="24"/>
                <w:color w:val="auto"/>
              </w:rPr>
            </w:pPr>
          </w:p>
        </w:tc>
        <w:tc>
          <w:tcPr>
            <w:tcW w:w="160" w:type="dxa"/>
            <w:vAlign w:val="bottom"/>
            <w:tcBorders>
              <w:bottom w:val="single" w:sz="8" w:color="auto"/>
            </w:tcBorders>
            <w:vMerge w:val="continue"/>
            <w:shd w:val="clear" w:color="auto" w:fill="E6E6E6"/>
          </w:tcPr>
          <w:p>
            <w:pPr>
              <w:spacing w:after="0"/>
              <w:rPr>
                <w:sz w:val="24"/>
                <w:szCs w:val="24"/>
                <w:color w:val="auto"/>
              </w:rPr>
            </w:pPr>
          </w:p>
        </w:tc>
        <w:tc>
          <w:tcPr>
            <w:tcW w:w="740" w:type="dxa"/>
            <w:vAlign w:val="bottom"/>
            <w:tcBorders>
              <w:bottom w:val="single" w:sz="8" w:color="auto"/>
            </w:tcBorders>
            <w:vMerge w:val="continue"/>
            <w:shd w:val="clear" w:color="auto" w:fill="E6E6E6"/>
          </w:tcPr>
          <w:p>
            <w:pPr>
              <w:spacing w:after="0"/>
              <w:rPr>
                <w:sz w:val="24"/>
                <w:szCs w:val="24"/>
                <w:color w:val="auto"/>
              </w:rPr>
            </w:pPr>
          </w:p>
        </w:tc>
        <w:tc>
          <w:tcPr>
            <w:tcW w:w="960" w:type="dxa"/>
            <w:vAlign w:val="bottom"/>
            <w:tcBorders>
              <w:bottom w:val="single" w:sz="8" w:color="E6E6E6"/>
            </w:tcBorders>
            <w:gridSpan w:val="2"/>
            <w:vMerge w:val="continue"/>
            <w:shd w:val="clear" w:color="auto" w:fill="E6E6E6"/>
          </w:tcPr>
          <w:p>
            <w:pPr>
              <w:spacing w:after="0"/>
              <w:rPr>
                <w:sz w:val="24"/>
                <w:szCs w:val="24"/>
                <w:color w:val="auto"/>
              </w:rPr>
            </w:pPr>
          </w:p>
        </w:tc>
        <w:tc>
          <w:tcPr>
            <w:tcW w:w="80" w:type="dxa"/>
            <w:vAlign w:val="bottom"/>
            <w:tcBorders>
              <w:bottom w:val="single" w:sz="8" w:color="E6E6E6"/>
            </w:tcBorders>
            <w:vMerge w:val="continue"/>
            <w:shd w:val="clear" w:color="auto" w:fill="E6E6E6"/>
          </w:tcPr>
          <w:p>
            <w:pPr>
              <w:spacing w:after="0"/>
              <w:rPr>
                <w:sz w:val="24"/>
                <w:szCs w:val="24"/>
                <w:color w:val="auto"/>
              </w:rPr>
            </w:pPr>
          </w:p>
        </w:tc>
        <w:tc>
          <w:tcPr>
            <w:tcW w:w="160" w:type="dxa"/>
            <w:vAlign w:val="bottom"/>
            <w:tcBorders>
              <w:bottom w:val="single" w:sz="8" w:color="auto"/>
            </w:tcBorders>
            <w:vMerge w:val="continue"/>
            <w:shd w:val="clear" w:color="auto" w:fill="E6E6E6"/>
          </w:tcPr>
          <w:p>
            <w:pPr>
              <w:spacing w:after="0"/>
              <w:rPr>
                <w:sz w:val="24"/>
                <w:szCs w:val="24"/>
                <w:color w:val="auto"/>
              </w:rPr>
            </w:pPr>
          </w:p>
        </w:tc>
        <w:tc>
          <w:tcPr>
            <w:tcW w:w="740" w:type="dxa"/>
            <w:vAlign w:val="bottom"/>
            <w:tcBorders>
              <w:bottom w:val="single" w:sz="8" w:color="auto"/>
            </w:tcBorders>
            <w:vMerge w:val="continue"/>
            <w:shd w:val="clear" w:color="auto" w:fill="E6E6E6"/>
          </w:tcPr>
          <w:p>
            <w:pPr>
              <w:spacing w:after="0"/>
              <w:rPr>
                <w:sz w:val="24"/>
                <w:szCs w:val="24"/>
                <w:color w:val="auto"/>
              </w:rPr>
            </w:pPr>
          </w:p>
        </w:tc>
        <w:tc>
          <w:tcPr>
            <w:tcW w:w="960" w:type="dxa"/>
            <w:vAlign w:val="bottom"/>
            <w:tcBorders>
              <w:bottom w:val="single" w:sz="8" w:color="E6E6E6"/>
            </w:tcBorders>
            <w:gridSpan w:val="2"/>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-43180</wp:posOffset>
            </wp:positionV>
            <wp:extent cx="3956685" cy="5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56685" cy="50165"/>
                    </a:xfrm>
                    <a:prstGeom prst="rect">
                      <a:avLst/>
                    </a:prstGeom>
                    <a:noFill/>
                  </pic:spPr>
                </pic:pic>
              </a:graphicData>
            </a:graphic>
          </wp:anchor>
        </w:drawing>
      </w:r>
    </w:p>
    <w:p>
      <w:pPr>
        <w:spacing w:after="0" w:line="46" w:lineRule="exact"/>
        <w:rPr>
          <w:sz w:val="20"/>
          <w:szCs w:val="20"/>
          <w:color w:val="auto"/>
        </w:rPr>
      </w:pPr>
    </w:p>
    <w:p>
      <w:pPr>
        <w:ind w:right="340" w:firstLine="709"/>
        <w:spacing w:after="0" w:line="261" w:lineRule="auto"/>
        <w:rPr>
          <w:sz w:val="20"/>
          <w:szCs w:val="20"/>
          <w:color w:val="auto"/>
        </w:rPr>
      </w:pPr>
      <w:r>
        <w:rPr>
          <w:rFonts w:ascii="Arial" w:cs="Arial" w:eastAsia="Arial" w:hAnsi="Arial"/>
          <w:sz w:val="20"/>
          <w:szCs w:val="20"/>
          <w:color w:val="auto"/>
        </w:rPr>
        <w:t>Depreciation and amortization for the year ended December 31, 2024 increased $35.2 million from the comparable period in 2023 due to incremental depreciation and amortization associated with the HEPACO and Noble acquisitions completed in March 2024 as well as incremental finance lease amortization.</w:t>
      </w:r>
    </w:p>
    <w:p>
      <w:pPr>
        <w:spacing w:after="0" w:line="116" w:lineRule="exact"/>
        <w:rPr>
          <w:sz w:val="20"/>
          <w:szCs w:val="20"/>
          <w:color w:val="auto"/>
        </w:rPr>
      </w:pPr>
    </w:p>
    <w:p>
      <w:pPr>
        <w:jc w:val="both"/>
        <w:ind w:right="320" w:firstLine="709"/>
        <w:spacing w:after="0" w:line="281" w:lineRule="auto"/>
        <w:rPr>
          <w:sz w:val="20"/>
          <w:szCs w:val="20"/>
          <w:color w:val="auto"/>
        </w:rPr>
      </w:pPr>
      <w:r>
        <w:rPr>
          <w:rFonts w:ascii="Arial" w:cs="Arial" w:eastAsia="Arial" w:hAnsi="Arial"/>
          <w:sz w:val="19"/>
          <w:szCs w:val="19"/>
          <w:color w:val="auto"/>
        </w:rPr>
        <w:t>Depreciation and amortization for the year ended December 31, 2023 increased $18.2 million from the comparable period in 2022 due to incremental depreciation and amortization associated with the Thompson Industrial assets acquired on March 31, 2023 and increased finance lease and landfill amortization in the period.</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Income, net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60" w:type="dxa"/>
            <w:vAlign w:val="bottom"/>
          </w:tcPr>
          <w:p>
            <w:pPr>
              <w:spacing w:after="0"/>
              <w:rPr>
                <w:sz w:val="20"/>
                <w:szCs w:val="20"/>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2024 over 2023</w:t>
            </w:r>
          </w:p>
        </w:tc>
        <w:tc>
          <w:tcPr>
            <w:tcW w:w="1800" w:type="dxa"/>
            <w:vAlign w:val="bottom"/>
            <w:gridSpan w:val="4"/>
          </w:tcPr>
          <w:p>
            <w:pPr>
              <w:ind w:left="260"/>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174"/>
        </w:trPr>
        <w:tc>
          <w:tcPr>
            <w:tcW w:w="3080" w:type="dxa"/>
            <w:vAlign w:val="bottom"/>
            <w:vMerge w:val="restart"/>
          </w:tcPr>
          <w:p>
            <w:pPr>
              <w:ind w:left="60"/>
              <w:spacing w:after="0"/>
              <w:rPr>
                <w:sz w:val="20"/>
                <w:szCs w:val="20"/>
                <w:color w:val="auto"/>
              </w:rPr>
            </w:pPr>
            <w:r>
              <w:rPr>
                <w:rFonts w:ascii="Arial" w:cs="Arial" w:eastAsia="Arial" w:hAnsi="Arial"/>
                <w:sz w:val="18"/>
                <w:szCs w:val="18"/>
                <w:color w:val="auto"/>
              </w:rPr>
              <w:t>(in thousands, except percentages)</w:t>
            </w:r>
          </w:p>
        </w:tc>
        <w:tc>
          <w:tcPr>
            <w:tcW w:w="80" w:type="dxa"/>
            <w:vAlign w:val="bottom"/>
            <w:vMerge w:val="restart"/>
          </w:tcPr>
          <w:p>
            <w:pPr>
              <w:spacing w:after="0"/>
              <w:rPr>
                <w:sz w:val="15"/>
                <w:szCs w:val="15"/>
                <w:color w:val="auto"/>
              </w:rPr>
            </w:pPr>
          </w:p>
        </w:tc>
        <w:tc>
          <w:tcPr>
            <w:tcW w:w="92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vMerge w:val="restart"/>
          </w:tcPr>
          <w:p>
            <w:pPr>
              <w:jc w:val="right"/>
              <w:ind w:right="186"/>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vMerge w:val="restart"/>
          </w:tcPr>
          <w:p>
            <w:pPr>
              <w:jc w:val="right"/>
              <w:ind w:right="206"/>
              <w:spacing w:after="0"/>
              <w:rPr>
                <w:sz w:val="20"/>
                <w:szCs w:val="20"/>
                <w:color w:val="auto"/>
              </w:rPr>
            </w:pPr>
            <w:r>
              <w:rPr>
                <w:rFonts w:ascii="Arial" w:cs="Arial" w:eastAsia="Arial" w:hAnsi="Arial"/>
                <w:sz w:val="18"/>
                <w:szCs w:val="18"/>
                <w:b w:val="1"/>
                <w:bCs w:val="1"/>
                <w:color w:val="auto"/>
                <w:w w:val="99"/>
              </w:rPr>
              <w:t>2022</w:t>
            </w:r>
          </w:p>
        </w:tc>
        <w:tc>
          <w:tcPr>
            <w:tcW w:w="60" w:type="dxa"/>
            <w:vAlign w:val="bottom"/>
          </w:tcPr>
          <w:p>
            <w:pPr>
              <w:spacing w:after="0"/>
              <w:rPr>
                <w:sz w:val="15"/>
                <w:szCs w:val="15"/>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000" w:type="dxa"/>
            <w:vAlign w:val="bottom"/>
            <w:tcBorders>
              <w:top w:val="single" w:sz="8" w:color="auto"/>
            </w:tcBorders>
            <w:gridSpan w:val="2"/>
          </w:tcPr>
          <w:p>
            <w:pPr>
              <w:jc w:val="right"/>
              <w:ind w:right="291"/>
              <w:spacing w:after="0" w:line="174"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8"/>
                <w:szCs w:val="18"/>
                <w:b w:val="1"/>
                <w:bCs w:val="1"/>
                <w:color w:val="auto"/>
                <w:w w:val="90"/>
              </w:rPr>
              <w:t>Change</w:t>
            </w:r>
          </w:p>
        </w:tc>
        <w:tc>
          <w:tcPr>
            <w:tcW w:w="1020" w:type="dxa"/>
            <w:vAlign w:val="bottom"/>
            <w:tcBorders>
              <w:top w:val="single" w:sz="8" w:color="auto"/>
            </w:tcBorders>
            <w:gridSpan w:val="2"/>
          </w:tcPr>
          <w:p>
            <w:pPr>
              <w:ind w:left="460"/>
              <w:spacing w:after="0" w:line="174"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0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6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2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31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Other (expense) income, net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  (1,454)</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2,315</w:t>
            </w:r>
          </w:p>
        </w:tc>
        <w:tc>
          <w:tcPr>
            <w:tcW w:w="30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2,472</w:t>
            </w:r>
          </w:p>
        </w:tc>
        <w:tc>
          <w:tcPr>
            <w:tcW w:w="10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  (3,769)</w:t>
            </w:r>
          </w:p>
        </w:tc>
        <w:tc>
          <w:tcPr>
            <w:tcW w:w="1240" w:type="dxa"/>
            <w:vAlign w:val="bottom"/>
            <w:gridSpan w:val="5"/>
            <w:shd w:val="clear" w:color="auto" w:fill="E6E6E6"/>
          </w:tcPr>
          <w:p>
            <w:pPr>
              <w:ind w:left="260"/>
              <w:spacing w:after="0"/>
              <w:rPr>
                <w:sz w:val="20"/>
                <w:szCs w:val="20"/>
                <w:color w:val="auto"/>
              </w:rPr>
            </w:pPr>
            <w:r>
              <w:rPr>
                <w:rFonts w:ascii="Arial" w:cs="Arial" w:eastAsia="Arial" w:hAnsi="Arial"/>
                <w:sz w:val="20"/>
                <w:szCs w:val="20"/>
                <w:color w:val="auto"/>
                <w:w w:val="92"/>
              </w:rPr>
              <w:t>(162.8)%  $</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(157)</w:t>
            </w:r>
          </w:p>
        </w:tc>
        <w:tc>
          <w:tcPr>
            <w:tcW w:w="1020" w:type="dxa"/>
            <w:vAlign w:val="bottom"/>
            <w:gridSpan w:val="2"/>
            <w:shd w:val="clear" w:color="auto" w:fill="E6E6E6"/>
          </w:tcPr>
          <w:p>
            <w:pPr>
              <w:ind w:left="460"/>
              <w:spacing w:after="0"/>
              <w:rPr>
                <w:sz w:val="20"/>
                <w:szCs w:val="20"/>
                <w:color w:val="auto"/>
              </w:rPr>
            </w:pPr>
            <w:r>
              <w:rPr>
                <w:rFonts w:ascii="Arial" w:cs="Arial" w:eastAsia="Arial" w:hAnsi="Arial"/>
                <w:sz w:val="20"/>
                <w:szCs w:val="20"/>
                <w:color w:val="auto"/>
                <w:w w:val="91"/>
              </w:rPr>
              <w:t>(6.4)%</w:t>
            </w: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380" w:firstLine="709"/>
        <w:spacing w:after="0" w:line="303" w:lineRule="auto"/>
        <w:rPr>
          <w:sz w:val="20"/>
          <w:szCs w:val="20"/>
          <w:color w:val="auto"/>
        </w:rPr>
      </w:pPr>
      <w:r>
        <w:rPr>
          <w:rFonts w:ascii="Arial" w:cs="Arial" w:eastAsia="Arial" w:hAnsi="Arial"/>
          <w:sz w:val="18"/>
          <w:szCs w:val="18"/>
          <w:color w:val="auto"/>
        </w:rPr>
        <w:t>For the year ended December 31, 2024, other expense, net was $1.5 million due to recognized losses on the sale or disposal of fixed assets. In contrast, for the years ended December 31, 2023 and December 31, 2022, the other income, net amounts were $2.3 million and $2.5 million, respectively, largely driven by gains on similar disposals.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on Early Extinguishment of Debt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center"/>
              <w:ind w:right="46"/>
              <w:spacing w:after="0"/>
              <w:rPr>
                <w:sz w:val="20"/>
                <w:szCs w:val="20"/>
                <w:color w:val="auto"/>
              </w:rPr>
            </w:pPr>
            <w:r>
              <w:rPr>
                <w:rFonts w:ascii="Arial" w:cs="Arial" w:eastAsia="Arial" w:hAnsi="Arial"/>
                <w:sz w:val="18"/>
                <w:szCs w:val="18"/>
                <w:b w:val="1"/>
                <w:bCs w:val="1"/>
                <w:color w:val="auto"/>
                <w:w w:val="88"/>
              </w:rPr>
              <w:t>For the years ended December 31,</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rPr>
              <w:t>2024 over 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8"/>
                <w:szCs w:val="18"/>
                <w:b w:val="1"/>
                <w:bCs w:val="1"/>
                <w:color w:val="auto"/>
              </w:rPr>
              <w:t>2023 over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40" w:type="dxa"/>
            <w:vAlign w:val="bottom"/>
            <w:vMerge w:val="restart"/>
          </w:tcPr>
          <w:p>
            <w:pPr>
              <w:ind w:left="60"/>
              <w:spacing w:after="0"/>
              <w:rPr>
                <w:sz w:val="20"/>
                <w:szCs w:val="20"/>
                <w:color w:val="auto"/>
              </w:rPr>
            </w:pPr>
            <w:r>
              <w:rPr>
                <w:rFonts w:ascii="Arial" w:cs="Arial" w:eastAsia="Arial" w:hAnsi="Arial"/>
                <w:sz w:val="18"/>
                <w:szCs w:val="18"/>
                <w:color w:val="auto"/>
              </w:rPr>
              <w:t>(in thousands, except percentages)</w:t>
            </w:r>
          </w:p>
        </w:tc>
        <w:tc>
          <w:tcPr>
            <w:tcW w:w="60" w:type="dxa"/>
            <w:vAlign w:val="bottom"/>
            <w:vMerge w:val="restart"/>
          </w:tcPr>
          <w:p>
            <w:pPr>
              <w:spacing w:after="0"/>
              <w:rPr>
                <w:sz w:val="15"/>
                <w:szCs w:val="15"/>
                <w:color w:val="auto"/>
              </w:rPr>
            </w:pPr>
          </w:p>
        </w:tc>
        <w:tc>
          <w:tcPr>
            <w:tcW w:w="180" w:type="dxa"/>
            <w:vAlign w:val="bottom"/>
            <w:vMerge w:val="restart"/>
          </w:tcPr>
          <w:p>
            <w:pPr>
              <w:spacing w:after="0"/>
              <w:rPr>
                <w:sz w:val="15"/>
                <w:szCs w:val="15"/>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ind w:right="186"/>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ind w:right="186"/>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8"/>
                <w:szCs w:val="18"/>
                <w:b w:val="1"/>
                <w:bCs w:val="1"/>
                <w:color w:val="auto"/>
                <w:w w:val="87"/>
              </w:rPr>
              <w:t>Change</w:t>
            </w:r>
          </w:p>
        </w:tc>
        <w:tc>
          <w:tcPr>
            <w:tcW w:w="1000" w:type="dxa"/>
            <w:vAlign w:val="bottom"/>
            <w:gridSpan w:val="2"/>
          </w:tcPr>
          <w:p>
            <w:pPr>
              <w:jc w:val="right"/>
              <w:ind w:right="291"/>
              <w:spacing w:after="0" w:line="174"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8"/>
                <w:szCs w:val="18"/>
                <w:b w:val="1"/>
                <w:bCs w:val="1"/>
                <w:color w:val="auto"/>
                <w:w w:val="87"/>
              </w:rPr>
              <w:t>Change</w:t>
            </w:r>
          </w:p>
        </w:tc>
        <w:tc>
          <w:tcPr>
            <w:tcW w:w="1000" w:type="dxa"/>
            <w:vAlign w:val="bottom"/>
            <w:gridSpan w:val="2"/>
          </w:tcPr>
          <w:p>
            <w:pPr>
              <w:jc w:val="right"/>
              <w:ind w:right="271"/>
              <w:spacing w:after="0" w:line="174"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0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Change</w:t>
            </w:r>
          </w:p>
        </w:tc>
        <w:tc>
          <w:tcPr>
            <w:tcW w:w="80" w:type="dxa"/>
            <w:vAlign w:val="bottom"/>
            <w:tcBorders>
              <w:bottom w:val="single" w:sz="8" w:color="E6E6E6"/>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Change</w:t>
            </w:r>
          </w:p>
        </w:tc>
        <w:tc>
          <w:tcPr>
            <w:tcW w:w="2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3280" w:type="dxa"/>
            <w:vAlign w:val="bottom"/>
            <w:gridSpan w:val="3"/>
            <w:shd w:val="clear" w:color="auto" w:fill="E6E6E6"/>
          </w:tcPr>
          <w:p>
            <w:pPr>
              <w:ind w:left="60"/>
              <w:spacing w:after="0"/>
              <w:rPr>
                <w:sz w:val="20"/>
                <w:szCs w:val="20"/>
                <w:color w:val="auto"/>
              </w:rPr>
            </w:pPr>
            <w:r>
              <w:rPr>
                <w:rFonts w:ascii="Arial" w:cs="Arial" w:eastAsia="Arial" w:hAnsi="Arial"/>
                <w:sz w:val="20"/>
                <w:szCs w:val="20"/>
                <w:color w:val="auto"/>
                <w:w w:val="91"/>
              </w:rPr>
              <w:t>Loss on early extinguishment of debt  $</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(371)</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(2,880)</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(422)</w:t>
            </w:r>
          </w:p>
        </w:tc>
        <w:tc>
          <w:tcPr>
            <w:tcW w:w="2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2,509</w:t>
            </w:r>
          </w:p>
        </w:tc>
        <w:tc>
          <w:tcPr>
            <w:tcW w:w="1240" w:type="dxa"/>
            <w:vAlign w:val="bottom"/>
            <w:gridSpan w:val="5"/>
            <w:shd w:val="clear" w:color="auto" w:fill="E6E6E6"/>
          </w:tcPr>
          <w:p>
            <w:pPr>
              <w:jc w:val="right"/>
              <w:ind w:right="20"/>
              <w:spacing w:after="0"/>
              <w:rPr>
                <w:sz w:val="20"/>
                <w:szCs w:val="20"/>
                <w:color w:val="auto"/>
              </w:rPr>
            </w:pPr>
            <w:r>
              <w:rPr>
                <w:rFonts w:ascii="Arial" w:cs="Arial" w:eastAsia="Arial" w:hAnsi="Arial"/>
                <w:sz w:val="20"/>
                <w:szCs w:val="20"/>
                <w:color w:val="auto"/>
              </w:rPr>
              <w:t>(87.1)%  $</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(2,458)</w:t>
            </w:r>
          </w:p>
        </w:tc>
        <w:tc>
          <w:tcPr>
            <w:tcW w:w="10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582.5 %</w:t>
            </w: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0" w:firstLine="709"/>
        <w:spacing w:after="0" w:line="289" w:lineRule="auto"/>
        <w:rPr>
          <w:sz w:val="20"/>
          <w:szCs w:val="20"/>
          <w:color w:val="auto"/>
        </w:rPr>
      </w:pPr>
      <w:r>
        <w:rPr>
          <w:rFonts w:ascii="Arial" w:cs="Arial" w:eastAsia="Arial" w:hAnsi="Arial"/>
          <w:sz w:val="18"/>
          <w:szCs w:val="18"/>
          <w:color w:val="auto"/>
        </w:rPr>
        <w:t>The increase in the loss on early extinguishment of debt for the year ended December 31, 2023 was due to the loss recognized for the repayment of certain Term Loans. In all of the periods presented, we also recognized small losses driven by the repricing of certain of our debt in 2024 and 2023 and the repayment of a portion of our outstanding debt in late 2022. For additional information regarding our current portfolio of long-term debt and related significant activity, see Note 12, “Financing Arrangements,” to our consolidated financial statements included in Item 8 of this report.</w:t>
      </w:r>
    </w:p>
    <w:p>
      <w:pPr>
        <w:sectPr>
          <w:pgSz w:w="11880" w:h="15480" w:orient="portrait"/>
          <w:cols w:equalWidth="0" w:num="1">
            <w:col w:w="10120"/>
          </w:cols>
          <w:pgMar w:left="880" w:top="567"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880" w:h="15480" w:orient="portrait"/>
          <w:cols w:equalWidth="0" w:num="1">
            <w:col w:w="10120"/>
          </w:cols>
          <w:pgMar w:left="880" w:top="567" w:right="880" w:bottom="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b w:val="1"/>
          <w:bCs w:val="1"/>
          <w:i w:val="1"/>
          <w:iCs w:val="1"/>
          <w:color w:val="auto"/>
        </w:rPr>
        <w:t>Gain on Sale of Business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ind w:left="280"/>
              <w:spacing w:after="0"/>
              <w:rPr>
                <w:sz w:val="20"/>
                <w:szCs w:val="20"/>
                <w:color w:val="auto"/>
              </w:rPr>
            </w:pPr>
            <w:r>
              <w:rPr>
                <w:rFonts w:ascii="Arial" w:cs="Arial" w:eastAsia="Arial" w:hAnsi="Arial"/>
                <w:sz w:val="18"/>
                <w:szCs w:val="18"/>
                <w:b w:val="1"/>
                <w:bCs w:val="1"/>
                <w:color w:val="auto"/>
              </w:rPr>
              <w:t>2024 over 2023</w:t>
            </w:r>
          </w:p>
        </w:tc>
        <w:tc>
          <w:tcPr>
            <w:tcW w:w="1880" w:type="dxa"/>
            <w:vAlign w:val="bottom"/>
            <w:gridSpan w:val="3"/>
          </w:tcPr>
          <w:p>
            <w:pPr>
              <w:jc w:val="right"/>
              <w:ind w:right="371"/>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203"/>
        </w:trPr>
        <w:tc>
          <w:tcPr>
            <w:tcW w:w="2680" w:type="dxa"/>
            <w:vAlign w:val="bottom"/>
            <w:vMerge w:val="restart"/>
          </w:tcPr>
          <w:p>
            <w:pPr>
              <w:ind w:left="60"/>
              <w:spacing w:after="0"/>
              <w:rPr>
                <w:sz w:val="20"/>
                <w:szCs w:val="20"/>
                <w:color w:val="auto"/>
              </w:rPr>
            </w:pPr>
            <w:r>
              <w:rPr>
                <w:rFonts w:ascii="Arial" w:cs="Arial" w:eastAsia="Arial" w:hAnsi="Arial"/>
                <w:sz w:val="18"/>
                <w:szCs w:val="18"/>
                <w:color w:val="auto"/>
                <w:w w:val="92"/>
              </w:rPr>
              <w:t>(in thousands, except percentages)</w:t>
            </w:r>
          </w:p>
        </w:tc>
        <w:tc>
          <w:tcPr>
            <w:tcW w:w="80" w:type="dxa"/>
            <w:vAlign w:val="bottom"/>
            <w:vMerge w:val="restart"/>
          </w:tcPr>
          <w:p>
            <w:pPr>
              <w:spacing w:after="0"/>
              <w:rPr>
                <w:sz w:val="17"/>
                <w:szCs w:val="1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top w:val="single" w:sz="8" w:color="auto"/>
            </w:tcBorders>
            <w:vMerge w:val="restart"/>
          </w:tcPr>
          <w:p>
            <w:pPr>
              <w:spacing w:after="0"/>
              <w:rPr>
                <w:sz w:val="17"/>
                <w:szCs w:val="17"/>
                <w:color w:val="auto"/>
              </w:rPr>
            </w:pPr>
          </w:p>
        </w:tc>
        <w:tc>
          <w:tcPr>
            <w:tcW w:w="80" w:type="dxa"/>
            <w:vAlign w:val="bottom"/>
            <w:tcBorders>
              <w:top w:val="single" w:sz="8" w:color="auto"/>
            </w:tcBorders>
            <w:vMerge w:val="restart"/>
          </w:tcPr>
          <w:p>
            <w:pPr>
              <w:spacing w:after="0"/>
              <w:rPr>
                <w:sz w:val="17"/>
                <w:szCs w:val="1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right"/>
              <w:ind w:right="226"/>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top w:val="single" w:sz="8" w:color="auto"/>
            </w:tcBorders>
            <w:gridSpan w:val="2"/>
          </w:tcPr>
          <w:p>
            <w:pPr>
              <w:jc w:val="right"/>
              <w:ind w:right="306"/>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8"/>
                <w:szCs w:val="18"/>
                <w:b w:val="1"/>
                <w:bCs w:val="1"/>
                <w:color w:val="auto"/>
                <w:w w:val="90"/>
              </w:rPr>
              <w:t>Change</w:t>
            </w:r>
          </w:p>
        </w:tc>
        <w:tc>
          <w:tcPr>
            <w:tcW w:w="1080" w:type="dxa"/>
            <w:vAlign w:val="bottom"/>
            <w:tcBorders>
              <w:top w:val="single" w:sz="8" w:color="auto"/>
            </w:tcBorders>
            <w:gridSpan w:val="2"/>
          </w:tcPr>
          <w:p>
            <w:pPr>
              <w:jc w:val="right"/>
              <w:ind w:right="331"/>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6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1"/>
        </w:trPr>
        <w:tc>
          <w:tcPr>
            <w:tcW w:w="2680" w:type="dxa"/>
            <w:vAlign w:val="bottom"/>
            <w:shd w:val="clear" w:color="auto" w:fill="E6E6E6"/>
          </w:tcPr>
          <w:p>
            <w:pPr>
              <w:ind w:left="60"/>
              <w:spacing w:after="0"/>
              <w:rPr>
                <w:sz w:val="20"/>
                <w:szCs w:val="20"/>
                <w:color w:val="auto"/>
              </w:rPr>
            </w:pPr>
            <w:r>
              <w:rPr>
                <w:rFonts w:ascii="Arial" w:cs="Arial" w:eastAsia="Arial" w:hAnsi="Arial"/>
                <w:sz w:val="20"/>
                <w:szCs w:val="20"/>
                <w:color w:val="auto"/>
              </w:rPr>
              <w:t>Gain on sale of business</w:t>
            </w:r>
          </w:p>
        </w:tc>
        <w:tc>
          <w:tcPr>
            <w:tcW w:w="80" w:type="dxa"/>
            <w:vAlign w:val="bottom"/>
            <w:shd w:val="clear" w:color="auto" w:fill="E6E6E6"/>
          </w:tcPr>
          <w:p>
            <w:pPr>
              <w:spacing w:after="0"/>
              <w:rPr>
                <w:sz w:val="23"/>
                <w:szCs w:val="23"/>
                <w:color w:val="auto"/>
              </w:rPr>
            </w:pPr>
          </w:p>
        </w:tc>
        <w:tc>
          <w:tcPr>
            <w:tcW w:w="680" w:type="dxa"/>
            <w:vAlign w:val="bottom"/>
            <w:shd w:val="clear" w:color="auto" w:fill="E6E6E6"/>
          </w:tcPr>
          <w:p>
            <w:pPr>
              <w:jc w:val="right"/>
              <w:ind w:right="448"/>
              <w:spacing w:after="0"/>
              <w:rPr>
                <w:sz w:val="20"/>
                <w:szCs w:val="20"/>
                <w:color w:val="auto"/>
              </w:rPr>
            </w:pPr>
            <w:r>
              <w:rPr>
                <w:rFonts w:ascii="Arial" w:cs="Arial" w:eastAsia="Arial" w:hAnsi="Arial"/>
                <w:sz w:val="20"/>
                <w:szCs w:val="20"/>
                <w:color w:val="auto"/>
              </w:rPr>
              <w:t>$</w:t>
            </w:r>
          </w:p>
        </w:tc>
        <w:tc>
          <w:tcPr>
            <w:tcW w:w="1080" w:type="dxa"/>
            <w:vAlign w:val="bottom"/>
            <w:gridSpan w:val="3"/>
            <w:shd w:val="clear" w:color="auto" w:fill="E6E6E6"/>
          </w:tcPr>
          <w:p>
            <w:pPr>
              <w:ind w:left="20"/>
              <w:spacing w:after="0"/>
              <w:rPr>
                <w:sz w:val="20"/>
                <w:szCs w:val="20"/>
                <w:color w:val="auto"/>
              </w:rPr>
            </w:pPr>
            <w:r>
              <w:rPr>
                <w:rFonts w:ascii="Arial" w:cs="Arial" w:eastAsia="Arial" w:hAnsi="Arial"/>
                <w:sz w:val="20"/>
                <w:szCs w:val="20"/>
                <w:color w:val="auto"/>
              </w:rPr>
              <w:t>—  $</w:t>
            </w:r>
          </w:p>
        </w:tc>
        <w:tc>
          <w:tcPr>
            <w:tcW w:w="600" w:type="dxa"/>
            <w:vAlign w:val="bottom"/>
            <w:gridSpan w:val="3"/>
            <w:shd w:val="clear" w:color="auto" w:fill="E6E6E6"/>
          </w:tcPr>
          <w:p>
            <w:pPr>
              <w:ind w:left="20"/>
              <w:spacing w:after="0"/>
              <w:rPr>
                <w:sz w:val="20"/>
                <w:szCs w:val="20"/>
                <w:color w:val="auto"/>
              </w:rPr>
            </w:pPr>
            <w:r>
              <w:rPr>
                <w:rFonts w:ascii="Arial" w:cs="Arial" w:eastAsia="Arial" w:hAnsi="Arial"/>
                <w:sz w:val="20"/>
                <w:szCs w:val="20"/>
                <w:color w:val="auto"/>
              </w:rPr>
              <w:t>—  $</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8,864</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shd w:val="clear" w:color="auto" w:fill="E6E6E6"/>
          </w:tcPr>
          <w:p>
            <w:pPr>
              <w:ind w:left="540"/>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3"/>
                <w:szCs w:val="23"/>
                <w:color w:val="auto"/>
              </w:rPr>
            </w:pPr>
          </w:p>
        </w:tc>
        <w:tc>
          <w:tcPr>
            <w:tcW w:w="1220" w:type="dxa"/>
            <w:vAlign w:val="bottom"/>
            <w:gridSpan w:val="3"/>
            <w:shd w:val="clear" w:color="auto" w:fill="E6E6E6"/>
          </w:tcPr>
          <w:p>
            <w:pPr>
              <w:ind w:left="520"/>
              <w:spacing w:after="0"/>
              <w:rPr>
                <w:sz w:val="20"/>
                <w:szCs w:val="20"/>
                <w:color w:val="auto"/>
              </w:rPr>
            </w:pPr>
            <w:r>
              <w:rPr>
                <w:rFonts w:ascii="Arial" w:cs="Arial" w:eastAsia="Arial" w:hAnsi="Arial"/>
                <w:sz w:val="20"/>
                <w:szCs w:val="20"/>
                <w:color w:val="auto"/>
              </w:rPr>
              <w:t>— %  $</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(8,864)</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74" w:lineRule="exact"/>
        <w:rPr>
          <w:sz w:val="20"/>
          <w:szCs w:val="20"/>
          <w:color w:val="auto"/>
        </w:rPr>
      </w:pPr>
    </w:p>
    <w:p>
      <w:pPr>
        <w:ind w:right="40" w:firstLine="709"/>
        <w:spacing w:after="0" w:line="281" w:lineRule="auto"/>
        <w:rPr>
          <w:sz w:val="20"/>
          <w:szCs w:val="20"/>
          <w:color w:val="auto"/>
        </w:rPr>
      </w:pPr>
      <w:r>
        <w:rPr>
          <w:rFonts w:ascii="Arial" w:cs="Arial" w:eastAsia="Arial" w:hAnsi="Arial"/>
          <w:sz w:val="19"/>
          <w:szCs w:val="19"/>
          <w:color w:val="auto"/>
        </w:rPr>
        <w:t>During the year ended December 31, 2022, we recognized an $8.9 million gain on the sale of a non-core line of business within our Environmental Services segment. For additional information regarding the gain on sale of business in 2022, see Note 5, “Disposition of Business,” to our consolidated financial statements included in Item 8 of this report.</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 Net of Interest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80" w:type="dxa"/>
            <w:vAlign w:val="bottom"/>
          </w:tcPr>
          <w:p>
            <w:pPr>
              <w:spacing w:after="0"/>
              <w:rPr>
                <w:sz w:val="20"/>
                <w:szCs w:val="20"/>
                <w:color w:val="auto"/>
              </w:rPr>
            </w:pPr>
          </w:p>
        </w:tc>
        <w:tc>
          <w:tcPr>
            <w:tcW w:w="2280" w:type="dxa"/>
            <w:vAlign w:val="bottom"/>
            <w:gridSpan w:val="5"/>
          </w:tcPr>
          <w:p>
            <w:pPr>
              <w:ind w:left="460"/>
              <w:spacing w:after="0"/>
              <w:rPr>
                <w:sz w:val="20"/>
                <w:szCs w:val="20"/>
                <w:color w:val="auto"/>
              </w:rPr>
            </w:pPr>
            <w:r>
              <w:rPr>
                <w:rFonts w:ascii="Arial" w:cs="Arial" w:eastAsia="Arial" w:hAnsi="Arial"/>
                <w:sz w:val="18"/>
                <w:szCs w:val="18"/>
                <w:b w:val="1"/>
                <w:bCs w:val="1"/>
                <w:color w:val="auto"/>
              </w:rPr>
              <w:t>2024 over 2023</w:t>
            </w:r>
          </w:p>
        </w:tc>
        <w:tc>
          <w:tcPr>
            <w:tcW w:w="1860" w:type="dxa"/>
            <w:vAlign w:val="bottom"/>
            <w:gridSpan w:val="3"/>
          </w:tcPr>
          <w:p>
            <w:pPr>
              <w:jc w:val="right"/>
              <w:ind w:right="351"/>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203"/>
        </w:trPr>
        <w:tc>
          <w:tcPr>
            <w:tcW w:w="2680" w:type="dxa"/>
            <w:vAlign w:val="bottom"/>
            <w:vMerge w:val="restart"/>
          </w:tcPr>
          <w:p>
            <w:pPr>
              <w:ind w:left="60"/>
              <w:spacing w:after="0"/>
              <w:rPr>
                <w:sz w:val="20"/>
                <w:szCs w:val="20"/>
                <w:color w:val="auto"/>
              </w:rPr>
            </w:pPr>
            <w:r>
              <w:rPr>
                <w:rFonts w:ascii="Arial" w:cs="Arial" w:eastAsia="Arial" w:hAnsi="Arial"/>
                <w:sz w:val="18"/>
                <w:szCs w:val="18"/>
                <w:color w:val="auto"/>
                <w:w w:val="92"/>
              </w:rPr>
              <w:t>(in thousands, except percentages)</w:t>
            </w:r>
          </w:p>
        </w:tc>
        <w:tc>
          <w:tcPr>
            <w:tcW w:w="80" w:type="dxa"/>
            <w:vAlign w:val="bottom"/>
            <w:vMerge w:val="restart"/>
          </w:tcPr>
          <w:p>
            <w:pPr>
              <w:spacing w:after="0"/>
              <w:rPr>
                <w:sz w:val="17"/>
                <w:szCs w:val="17"/>
                <w:color w:val="auto"/>
              </w:rPr>
            </w:pPr>
          </w:p>
        </w:tc>
        <w:tc>
          <w:tcPr>
            <w:tcW w:w="98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top w:val="single" w:sz="8" w:color="auto"/>
            </w:tcBorders>
            <w:vMerge w:val="restart"/>
          </w:tcPr>
          <w:p>
            <w:pPr>
              <w:spacing w:after="0"/>
              <w:rPr>
                <w:sz w:val="17"/>
                <w:szCs w:val="17"/>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4"/>
              </w:rPr>
              <w:t>2023</w:t>
            </w:r>
          </w:p>
        </w:tc>
        <w:tc>
          <w:tcPr>
            <w:tcW w:w="80" w:type="dxa"/>
            <w:vAlign w:val="bottom"/>
            <w:tcBorders>
              <w:top w:val="single" w:sz="8" w:color="auto"/>
            </w:tcBorders>
            <w:vMerge w:val="restart"/>
          </w:tcPr>
          <w:p>
            <w:pPr>
              <w:spacing w:after="0"/>
              <w:rPr>
                <w:sz w:val="17"/>
                <w:szCs w:val="17"/>
                <w:color w:val="auto"/>
              </w:rPr>
            </w:pPr>
          </w:p>
        </w:tc>
        <w:tc>
          <w:tcPr>
            <w:tcW w:w="960" w:type="dxa"/>
            <w:vAlign w:val="bottom"/>
            <w:tcBorders>
              <w:top w:val="single" w:sz="8" w:color="auto"/>
            </w:tcBorders>
            <w:vMerge w:val="restart"/>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040" w:type="dxa"/>
            <w:vAlign w:val="bottom"/>
            <w:tcBorders>
              <w:top w:val="single" w:sz="8" w:color="auto"/>
            </w:tcBorders>
            <w:gridSpan w:val="2"/>
          </w:tcPr>
          <w:p>
            <w:pPr>
              <w:ind w:left="480"/>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8"/>
                <w:szCs w:val="18"/>
                <w:b w:val="1"/>
                <w:bCs w:val="1"/>
                <w:color w:val="auto"/>
                <w:w w:val="90"/>
              </w:rPr>
              <w:t>Change</w:t>
            </w:r>
          </w:p>
        </w:tc>
        <w:tc>
          <w:tcPr>
            <w:tcW w:w="1060" w:type="dxa"/>
            <w:vAlign w:val="bottom"/>
            <w:tcBorders>
              <w:top w:val="single" w:sz="8" w:color="auto"/>
            </w:tcBorders>
            <w:gridSpan w:val="2"/>
          </w:tcPr>
          <w:p>
            <w:pPr>
              <w:jc w:val="right"/>
              <w:ind w:right="311"/>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6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09"/>
        </w:trPr>
        <w:tc>
          <w:tcPr>
            <w:tcW w:w="2760" w:type="dxa"/>
            <w:vAlign w:val="bottom"/>
            <w:gridSpan w:val="2"/>
            <w:shd w:val="clear" w:color="auto" w:fill="E6E6E6"/>
          </w:tcPr>
          <w:p>
            <w:pPr>
              <w:ind w:left="60"/>
              <w:spacing w:after="0" w:line="208" w:lineRule="exact"/>
              <w:rPr>
                <w:sz w:val="20"/>
                <w:szCs w:val="20"/>
                <w:color w:val="auto"/>
              </w:rPr>
            </w:pPr>
            <w:r>
              <w:rPr>
                <w:rFonts w:ascii="Arial" w:cs="Arial" w:eastAsia="Arial" w:hAnsi="Arial"/>
                <w:sz w:val="20"/>
                <w:szCs w:val="20"/>
                <w:color w:val="auto"/>
                <w:w w:val="95"/>
              </w:rPr>
              <w:t>Interest expense, net of interest</w:t>
            </w:r>
          </w:p>
        </w:tc>
        <w:tc>
          <w:tcPr>
            <w:tcW w:w="980" w:type="dxa"/>
            <w:vAlign w:val="bottom"/>
            <w:vMerge w:val="restart"/>
            <w:shd w:val="clear" w:color="auto" w:fill="E6E6E6"/>
          </w:tcPr>
          <w:p>
            <w:pPr>
              <w:jc w:val="right"/>
              <w:ind w:right="8"/>
              <w:spacing w:after="0"/>
              <w:rPr>
                <w:sz w:val="20"/>
                <w:szCs w:val="20"/>
                <w:color w:val="auto"/>
              </w:rPr>
            </w:pPr>
            <w:r>
              <w:rPr>
                <w:rFonts w:ascii="Arial" w:cs="Arial" w:eastAsia="Arial" w:hAnsi="Arial"/>
                <w:sz w:val="20"/>
                <w:szCs w:val="20"/>
                <w:color w:val="auto"/>
                <w:w w:val="96"/>
              </w:rPr>
              <w:t>$ 134,964</w:t>
            </w:r>
          </w:p>
        </w:tc>
        <w:tc>
          <w:tcPr>
            <w:tcW w:w="1040" w:type="dxa"/>
            <w:vAlign w:val="bottom"/>
            <w:gridSpan w:val="2"/>
            <w:vMerge w:val="restart"/>
            <w:shd w:val="clear" w:color="auto" w:fill="E6E6E6"/>
          </w:tcPr>
          <w:p>
            <w:pPr>
              <w:jc w:val="center"/>
              <w:spacing w:after="0"/>
              <w:rPr>
                <w:sz w:val="20"/>
                <w:szCs w:val="20"/>
                <w:color w:val="auto"/>
              </w:rPr>
            </w:pPr>
            <w:r>
              <w:rPr>
                <w:rFonts w:ascii="Arial" w:cs="Arial" w:eastAsia="Arial" w:hAnsi="Arial"/>
                <w:sz w:val="20"/>
                <w:szCs w:val="20"/>
                <w:color w:val="auto"/>
                <w:w w:val="94"/>
              </w:rPr>
              <w:t>$ 108,595</w:t>
            </w:r>
          </w:p>
        </w:tc>
        <w:tc>
          <w:tcPr>
            <w:tcW w:w="104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$ 107,663</w:t>
            </w:r>
          </w:p>
        </w:tc>
        <w:tc>
          <w:tcPr>
            <w:tcW w:w="106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  26,369</w:t>
            </w:r>
          </w:p>
        </w:tc>
        <w:tc>
          <w:tcPr>
            <w:tcW w:w="1300" w:type="dxa"/>
            <w:vAlign w:val="bottom"/>
            <w:gridSpan w:val="4"/>
            <w:vMerge w:val="restart"/>
            <w:shd w:val="clear" w:color="auto" w:fill="E6E6E6"/>
          </w:tcPr>
          <w:p>
            <w:pPr>
              <w:ind w:left="460"/>
              <w:spacing w:after="0"/>
              <w:rPr>
                <w:sz w:val="20"/>
                <w:szCs w:val="20"/>
                <w:color w:val="auto"/>
              </w:rPr>
            </w:pPr>
            <w:r>
              <w:rPr>
                <w:rFonts w:ascii="Arial" w:cs="Arial" w:eastAsia="Arial" w:hAnsi="Arial"/>
                <w:sz w:val="20"/>
                <w:szCs w:val="20"/>
                <w:color w:val="auto"/>
                <w:w w:val="96"/>
              </w:rPr>
              <w:t>24.3 %  $</w:t>
            </w: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932</w:t>
            </w:r>
          </w:p>
        </w:tc>
        <w:tc>
          <w:tcPr>
            <w:tcW w:w="106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0.9 %</w:t>
            </w:r>
          </w:p>
        </w:tc>
        <w:tc>
          <w:tcPr>
            <w:tcW w:w="0" w:type="dxa"/>
            <w:vAlign w:val="bottom"/>
          </w:tcPr>
          <w:p>
            <w:pPr>
              <w:spacing w:after="0"/>
              <w:rPr>
                <w:sz w:val="1"/>
                <w:szCs w:val="1"/>
                <w:color w:val="auto"/>
              </w:rPr>
            </w:pPr>
          </w:p>
        </w:tc>
      </w:tr>
      <w:tr>
        <w:trPr>
          <w:trHeight w:val="269"/>
        </w:trPr>
        <w:tc>
          <w:tcPr>
            <w:tcW w:w="27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income</w:t>
            </w:r>
          </w:p>
        </w:tc>
        <w:tc>
          <w:tcPr>
            <w:tcW w:w="980" w:type="dxa"/>
            <w:vAlign w:val="bottom"/>
            <w:vMerge w:val="continue"/>
            <w:shd w:val="clear" w:color="auto" w:fill="E6E6E6"/>
          </w:tcPr>
          <w:p>
            <w:pPr>
              <w:spacing w:after="0"/>
              <w:rPr>
                <w:sz w:val="23"/>
                <w:szCs w:val="23"/>
                <w:color w:val="auto"/>
              </w:rPr>
            </w:pPr>
          </w:p>
        </w:tc>
        <w:tc>
          <w:tcPr>
            <w:tcW w:w="1040" w:type="dxa"/>
            <w:vAlign w:val="bottom"/>
            <w:gridSpan w:val="2"/>
            <w:vMerge w:val="continue"/>
            <w:shd w:val="clear" w:color="auto" w:fill="E6E6E6"/>
          </w:tcPr>
          <w:p>
            <w:pPr>
              <w:spacing w:after="0"/>
              <w:rPr>
                <w:sz w:val="23"/>
                <w:szCs w:val="23"/>
                <w:color w:val="auto"/>
              </w:rPr>
            </w:pPr>
          </w:p>
        </w:tc>
        <w:tc>
          <w:tcPr>
            <w:tcW w:w="1040" w:type="dxa"/>
            <w:vAlign w:val="bottom"/>
            <w:gridSpan w:val="2"/>
            <w:vMerge w:val="continue"/>
            <w:shd w:val="clear" w:color="auto" w:fill="E6E6E6"/>
          </w:tcPr>
          <w:p>
            <w:pPr>
              <w:spacing w:after="0"/>
              <w:rPr>
                <w:sz w:val="23"/>
                <w:szCs w:val="23"/>
                <w:color w:val="auto"/>
              </w:rPr>
            </w:pPr>
          </w:p>
        </w:tc>
        <w:tc>
          <w:tcPr>
            <w:tcW w:w="1060" w:type="dxa"/>
            <w:vAlign w:val="bottom"/>
            <w:gridSpan w:val="2"/>
            <w:vMerge w:val="continue"/>
            <w:shd w:val="clear" w:color="auto" w:fill="E6E6E6"/>
          </w:tcPr>
          <w:p>
            <w:pPr>
              <w:spacing w:after="0"/>
              <w:rPr>
                <w:sz w:val="23"/>
                <w:szCs w:val="23"/>
                <w:color w:val="auto"/>
              </w:rPr>
            </w:pPr>
          </w:p>
        </w:tc>
        <w:tc>
          <w:tcPr>
            <w:tcW w:w="1300" w:type="dxa"/>
            <w:vAlign w:val="bottom"/>
            <w:gridSpan w:val="4"/>
            <w:vMerge w:val="continue"/>
            <w:shd w:val="clear" w:color="auto" w:fill="E6E6E6"/>
          </w:tcPr>
          <w:p>
            <w:pPr>
              <w:spacing w:after="0"/>
              <w:rPr>
                <w:sz w:val="23"/>
                <w:szCs w:val="23"/>
                <w:color w:val="auto"/>
              </w:rPr>
            </w:pPr>
          </w:p>
        </w:tc>
        <w:tc>
          <w:tcPr>
            <w:tcW w:w="800" w:type="dxa"/>
            <w:vAlign w:val="bottom"/>
            <w:vMerge w:val="continue"/>
            <w:shd w:val="clear" w:color="auto" w:fill="E6E6E6"/>
          </w:tcPr>
          <w:p>
            <w:pPr>
              <w:spacing w:after="0"/>
              <w:rPr>
                <w:sz w:val="23"/>
                <w:szCs w:val="23"/>
                <w:color w:val="auto"/>
              </w:rPr>
            </w:pPr>
          </w:p>
        </w:tc>
        <w:tc>
          <w:tcPr>
            <w:tcW w:w="1060" w:type="dxa"/>
            <w:vAlign w:val="bottom"/>
            <w:gridSpan w:val="2"/>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 w:firstLine="709"/>
        <w:spacing w:after="0" w:line="284" w:lineRule="auto"/>
        <w:rPr>
          <w:sz w:val="20"/>
          <w:szCs w:val="20"/>
          <w:color w:val="auto"/>
        </w:rPr>
      </w:pPr>
      <w:r>
        <w:rPr>
          <w:rFonts w:ascii="Arial" w:cs="Arial" w:eastAsia="Arial" w:hAnsi="Arial"/>
          <w:sz w:val="18"/>
          <w:szCs w:val="18"/>
          <w:color w:val="auto"/>
        </w:rPr>
        <w:t>Interest expense, net of interest income for the year ended December 31, 2024 increased by $26.4 million from the comparable period in 2023. During the year ended December 31, 2023 interest expense, net of interest income included a $8.3 million benefit from settling certain interest rate swaps in January 2023. Absent this benefit, interest expense, net of interest income increased $18.1 million due to higher levels of outstanding debt as a result of the 2024 Incremental Term Loans entered into on March 22, 2024 in connection with completed acquisitions, partially offset by a $7.5 million increase in interest income, generally on our cash investments, for the year ended December 31, 2024. The effective interest rates on our long-term debt for the years ended December 31, 2024 and December 31, 2023 were 5.40% and 5.19%, respectively.</w:t>
      </w:r>
    </w:p>
    <w:p>
      <w:pPr>
        <w:spacing w:after="0" w:line="98" w:lineRule="exact"/>
        <w:rPr>
          <w:sz w:val="20"/>
          <w:szCs w:val="20"/>
          <w:color w:val="auto"/>
        </w:rPr>
      </w:pPr>
    </w:p>
    <w:p>
      <w:pPr>
        <w:jc w:val="both"/>
        <w:ind w:right="160" w:firstLine="709"/>
        <w:spacing w:after="0" w:line="274" w:lineRule="auto"/>
        <w:rPr>
          <w:sz w:val="20"/>
          <w:szCs w:val="20"/>
          <w:color w:val="auto"/>
        </w:rPr>
      </w:pPr>
      <w:r>
        <w:rPr>
          <w:rFonts w:ascii="Arial" w:cs="Arial" w:eastAsia="Arial" w:hAnsi="Arial"/>
          <w:sz w:val="19"/>
          <w:szCs w:val="19"/>
          <w:color w:val="auto"/>
        </w:rPr>
        <w:t>Interest expense, net of interest income for the year ended December 31, 2023 remained relatively consistent with the comparable period in 2022 as higher interest rates on our portfolio of debt obligations were partially offset by the $8.3 million benefit noted above and higher interest income realized. The effective interest rates on our long-term debt for the years ended December 31, 2023 and December 31, 2022 were 5.19% and 4.05%, respectively.</w:t>
      </w:r>
    </w:p>
    <w:p>
      <w:pPr>
        <w:spacing w:after="0" w:line="105" w:lineRule="exact"/>
        <w:rPr>
          <w:sz w:val="20"/>
          <w:szCs w:val="20"/>
          <w:color w:val="auto"/>
        </w:rPr>
      </w:pPr>
    </w:p>
    <w:p>
      <w:pPr>
        <w:ind w:right="100" w:firstLine="709"/>
        <w:spacing w:after="0" w:line="256" w:lineRule="auto"/>
        <w:rPr>
          <w:sz w:val="20"/>
          <w:szCs w:val="20"/>
          <w:color w:val="auto"/>
        </w:rPr>
      </w:pPr>
      <w:r>
        <w:rPr>
          <w:rFonts w:ascii="Arial" w:cs="Arial" w:eastAsia="Arial" w:hAnsi="Arial"/>
          <w:sz w:val="20"/>
          <w:szCs w:val="20"/>
          <w:color w:val="auto"/>
        </w:rPr>
        <w:t>As we exit 2024, the effective rate on our debt is approximately 5.38% given the current interest rate environment and our portfolio of long-term debt and related interest rate swaps. For additional information regarding our current portfolio of long-term debt, see Note 12, "Financing Arrangements," to our consolidated financial statements included in Item 8 of this report.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For the years ended December 31,</w:t>
            </w:r>
          </w:p>
        </w:tc>
        <w:tc>
          <w:tcPr>
            <w:tcW w:w="60" w:type="dxa"/>
            <w:vAlign w:val="bottom"/>
          </w:tcPr>
          <w:p>
            <w:pPr>
              <w:spacing w:after="0"/>
              <w:rPr>
                <w:sz w:val="20"/>
                <w:szCs w:val="20"/>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2024 over 2023</w:t>
            </w:r>
          </w:p>
        </w:tc>
        <w:tc>
          <w:tcPr>
            <w:tcW w:w="1780" w:type="dxa"/>
            <w:vAlign w:val="bottom"/>
            <w:gridSpan w:val="3"/>
          </w:tcPr>
          <w:p>
            <w:pPr>
              <w:ind w:left="260"/>
              <w:spacing w:after="0"/>
              <w:rPr>
                <w:sz w:val="20"/>
                <w:szCs w:val="20"/>
                <w:color w:val="auto"/>
              </w:rPr>
            </w:pPr>
            <w:r>
              <w:rPr>
                <w:rFonts w:ascii="Arial" w:cs="Arial" w:eastAsia="Arial" w:hAnsi="Arial"/>
                <w:sz w:val="18"/>
                <w:szCs w:val="18"/>
                <w:b w:val="1"/>
                <w:bCs w:val="1"/>
                <w:color w:val="auto"/>
              </w:rPr>
              <w:t>2023 over 2022</w:t>
            </w:r>
          </w:p>
        </w:tc>
        <w:tc>
          <w:tcPr>
            <w:tcW w:w="0" w:type="dxa"/>
            <w:vAlign w:val="bottom"/>
          </w:tcPr>
          <w:p>
            <w:pPr>
              <w:spacing w:after="0"/>
              <w:rPr>
                <w:sz w:val="1"/>
                <w:szCs w:val="1"/>
                <w:color w:val="auto"/>
              </w:rPr>
            </w:pPr>
          </w:p>
        </w:tc>
      </w:tr>
      <w:tr>
        <w:trPr>
          <w:trHeight w:val="174"/>
        </w:trPr>
        <w:tc>
          <w:tcPr>
            <w:tcW w:w="3080" w:type="dxa"/>
            <w:vAlign w:val="bottom"/>
            <w:vMerge w:val="restart"/>
          </w:tcPr>
          <w:p>
            <w:pPr>
              <w:ind w:left="60"/>
              <w:spacing w:after="0"/>
              <w:rPr>
                <w:sz w:val="20"/>
                <w:szCs w:val="20"/>
                <w:color w:val="auto"/>
              </w:rPr>
            </w:pPr>
            <w:r>
              <w:rPr>
                <w:rFonts w:ascii="Arial" w:cs="Arial" w:eastAsia="Arial" w:hAnsi="Arial"/>
                <w:sz w:val="18"/>
                <w:szCs w:val="18"/>
                <w:color w:val="auto"/>
              </w:rPr>
              <w:t>(in thousands, except percentages)</w:t>
            </w:r>
          </w:p>
        </w:tc>
        <w:tc>
          <w:tcPr>
            <w:tcW w:w="80" w:type="dxa"/>
            <w:vAlign w:val="bottom"/>
            <w:vMerge w:val="restart"/>
          </w:tcPr>
          <w:p>
            <w:pPr>
              <w:spacing w:after="0"/>
              <w:rPr>
                <w:sz w:val="15"/>
                <w:szCs w:val="15"/>
                <w:color w:val="auto"/>
              </w:rPr>
            </w:pPr>
          </w:p>
        </w:tc>
        <w:tc>
          <w:tcPr>
            <w:tcW w:w="920" w:type="dxa"/>
            <w:vAlign w:val="bottom"/>
            <w:tcBorders>
              <w:top w:val="single" w:sz="8" w:color="auto"/>
            </w:tcBorders>
            <w:vMerge w:val="restart"/>
          </w:tcPr>
          <w:p>
            <w:pPr>
              <w:jc w:val="right"/>
              <w:ind w:right="186"/>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vMerge w:val="restart"/>
          </w:tcPr>
          <w:p>
            <w:pPr>
              <w:spacing w:after="0"/>
              <w:rPr>
                <w:sz w:val="15"/>
                <w:szCs w:val="15"/>
                <w:color w:val="auto"/>
              </w:rPr>
            </w:pPr>
          </w:p>
        </w:tc>
        <w:tc>
          <w:tcPr>
            <w:tcW w:w="92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vMerge w:val="restart"/>
          </w:tcPr>
          <w:p>
            <w:pPr>
              <w:spacing w:after="0"/>
              <w:rPr>
                <w:sz w:val="15"/>
                <w:szCs w:val="15"/>
                <w:color w:val="auto"/>
              </w:rPr>
            </w:pPr>
          </w:p>
        </w:tc>
        <w:tc>
          <w:tcPr>
            <w:tcW w:w="940" w:type="dxa"/>
            <w:vAlign w:val="bottom"/>
            <w:tcBorders>
              <w:top w:val="single" w:sz="8" w:color="auto"/>
            </w:tcBorders>
            <w:vMerge w:val="restart"/>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5"/>
                <w:szCs w:val="15"/>
                <w:color w:val="auto"/>
              </w:rPr>
            </w:pPr>
          </w:p>
        </w:tc>
        <w:tc>
          <w:tcPr>
            <w:tcW w:w="94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b w:val="1"/>
                <w:bCs w:val="1"/>
                <w:color w:val="auto"/>
              </w:rPr>
              <w:t>Change</w:t>
            </w:r>
          </w:p>
        </w:tc>
        <w:tc>
          <w:tcPr>
            <w:tcW w:w="1000" w:type="dxa"/>
            <w:vAlign w:val="bottom"/>
            <w:tcBorders>
              <w:top w:val="single" w:sz="8" w:color="auto"/>
            </w:tcBorders>
            <w:gridSpan w:val="2"/>
          </w:tcPr>
          <w:p>
            <w:pPr>
              <w:jc w:val="right"/>
              <w:ind w:right="291"/>
              <w:spacing w:after="0" w:line="174"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top w:val="single" w:sz="8" w:color="auto"/>
            </w:tcBorders>
            <w:gridSpan w:val="2"/>
          </w:tcPr>
          <w:p>
            <w:pPr>
              <w:jc w:val="center"/>
              <w:spacing w:after="0" w:line="174"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30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6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1"/>
        </w:trPr>
        <w:tc>
          <w:tcPr>
            <w:tcW w:w="31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Provision for income taxes</w:t>
            </w:r>
          </w:p>
        </w:tc>
        <w:tc>
          <w:tcPr>
            <w:tcW w:w="920" w:type="dxa"/>
            <w:vAlign w:val="bottom"/>
            <w:shd w:val="clear" w:color="auto" w:fill="E6E6E6"/>
          </w:tcPr>
          <w:p>
            <w:pPr>
              <w:jc w:val="right"/>
              <w:ind w:right="26"/>
              <w:spacing w:after="0"/>
              <w:rPr>
                <w:sz w:val="20"/>
                <w:szCs w:val="20"/>
                <w:color w:val="auto"/>
              </w:rPr>
            </w:pPr>
            <w:r>
              <w:rPr>
                <w:rFonts w:ascii="Arial" w:cs="Arial" w:eastAsia="Arial" w:hAnsi="Arial"/>
                <w:sz w:val="20"/>
                <w:szCs w:val="20"/>
                <w:color w:val="auto"/>
                <w:w w:val="87"/>
              </w:rPr>
              <w:t>$ 131,144</w:t>
            </w:r>
          </w:p>
        </w:tc>
        <w:tc>
          <w:tcPr>
            <w:tcW w:w="1000" w:type="dxa"/>
            <w:vAlign w:val="bottom"/>
            <w:gridSpan w:val="2"/>
            <w:shd w:val="clear" w:color="auto" w:fill="E6E6E6"/>
          </w:tcPr>
          <w:p>
            <w:pPr>
              <w:jc w:val="right"/>
              <w:ind w:right="31"/>
              <w:spacing w:after="0"/>
              <w:rPr>
                <w:sz w:val="20"/>
                <w:szCs w:val="20"/>
                <w:color w:val="auto"/>
              </w:rPr>
            </w:pPr>
            <w:r>
              <w:rPr>
                <w:rFonts w:ascii="Arial" w:cs="Arial" w:eastAsia="Arial" w:hAnsi="Arial"/>
                <w:sz w:val="20"/>
                <w:szCs w:val="20"/>
                <w:color w:val="auto"/>
                <w:w w:val="96"/>
              </w:rPr>
              <w:t>$ 125,423</w:t>
            </w:r>
          </w:p>
        </w:tc>
        <w:tc>
          <w:tcPr>
            <w:tcW w:w="1020" w:type="dxa"/>
            <w:vAlign w:val="bottom"/>
            <w:gridSpan w:val="2"/>
            <w:shd w:val="clear" w:color="auto" w:fill="E6E6E6"/>
          </w:tcPr>
          <w:p>
            <w:pPr>
              <w:jc w:val="right"/>
              <w:ind w:right="51"/>
              <w:spacing w:after="0"/>
              <w:rPr>
                <w:sz w:val="20"/>
                <w:szCs w:val="20"/>
                <w:color w:val="auto"/>
              </w:rPr>
            </w:pPr>
            <w:r>
              <w:rPr>
                <w:rFonts w:ascii="Arial" w:cs="Arial" w:eastAsia="Arial" w:hAnsi="Arial"/>
                <w:sz w:val="20"/>
                <w:szCs w:val="20"/>
                <w:color w:val="auto"/>
              </w:rPr>
              <w:t>$126,254</w:t>
            </w:r>
          </w:p>
        </w:tc>
        <w:tc>
          <w:tcPr>
            <w:tcW w:w="1000" w:type="dxa"/>
            <w:vAlign w:val="bottom"/>
            <w:gridSpan w:val="2"/>
            <w:shd w:val="clear" w:color="auto" w:fill="E6E6E6"/>
          </w:tcPr>
          <w:p>
            <w:pPr>
              <w:jc w:val="right"/>
              <w:ind w:right="171"/>
              <w:spacing w:after="0"/>
              <w:rPr>
                <w:sz w:val="20"/>
                <w:szCs w:val="20"/>
                <w:color w:val="auto"/>
              </w:rPr>
            </w:pPr>
            <w:r>
              <w:rPr>
                <w:rFonts w:ascii="Arial" w:cs="Arial" w:eastAsia="Arial" w:hAnsi="Arial"/>
                <w:sz w:val="20"/>
                <w:szCs w:val="20"/>
                <w:color w:val="auto"/>
              </w:rPr>
              <w:t>$ 5,721</w:t>
            </w:r>
          </w:p>
        </w:tc>
        <w:tc>
          <w:tcPr>
            <w:tcW w:w="1240" w:type="dxa"/>
            <w:vAlign w:val="bottom"/>
            <w:gridSpan w:val="5"/>
            <w:shd w:val="clear" w:color="auto" w:fill="E6E6E6"/>
          </w:tcPr>
          <w:p>
            <w:pPr>
              <w:jc w:val="right"/>
              <w:ind w:right="20"/>
              <w:spacing w:after="0"/>
              <w:rPr>
                <w:sz w:val="20"/>
                <w:szCs w:val="20"/>
                <w:color w:val="auto"/>
              </w:rPr>
            </w:pPr>
            <w:r>
              <w:rPr>
                <w:rFonts w:ascii="Arial" w:cs="Arial" w:eastAsia="Arial" w:hAnsi="Arial"/>
                <w:sz w:val="20"/>
                <w:szCs w:val="20"/>
                <w:color w:val="auto"/>
              </w:rPr>
              <w:t>4.6 %  $</w:t>
            </w:r>
          </w:p>
        </w:tc>
        <w:tc>
          <w:tcPr>
            <w:tcW w:w="760" w:type="dxa"/>
            <w:vAlign w:val="bottom"/>
            <w:shd w:val="clear" w:color="auto" w:fill="E6E6E6"/>
          </w:tcPr>
          <w:p>
            <w:pPr>
              <w:jc w:val="right"/>
              <w:ind w:right="26"/>
              <w:spacing w:after="0"/>
              <w:rPr>
                <w:sz w:val="20"/>
                <w:szCs w:val="20"/>
                <w:color w:val="auto"/>
              </w:rPr>
            </w:pPr>
            <w:r>
              <w:rPr>
                <w:rFonts w:ascii="Arial" w:cs="Arial" w:eastAsia="Arial" w:hAnsi="Arial"/>
                <w:sz w:val="20"/>
                <w:szCs w:val="20"/>
                <w:color w:val="auto"/>
              </w:rPr>
              <w:t>(831)</w:t>
            </w:r>
          </w:p>
        </w:tc>
        <w:tc>
          <w:tcPr>
            <w:tcW w:w="1020" w:type="dxa"/>
            <w:vAlign w:val="bottom"/>
            <w:gridSpan w:val="2"/>
            <w:shd w:val="clear" w:color="auto" w:fill="E6E6E6"/>
          </w:tcPr>
          <w:p>
            <w:pPr>
              <w:jc w:val="center"/>
              <w:ind w:left="26"/>
              <w:spacing w:after="0"/>
              <w:rPr>
                <w:sz w:val="20"/>
                <w:szCs w:val="20"/>
                <w:color w:val="auto"/>
              </w:rPr>
            </w:pPr>
            <w:r>
              <w:rPr>
                <w:rFonts w:ascii="Arial" w:cs="Arial" w:eastAsia="Arial" w:hAnsi="Arial"/>
                <w:sz w:val="20"/>
                <w:szCs w:val="20"/>
                <w:color w:val="auto"/>
                <w:w w:val="91"/>
              </w:rPr>
              <w:t>(0.7)%</w:t>
            </w:r>
          </w:p>
        </w:tc>
        <w:tc>
          <w:tcPr>
            <w:tcW w:w="0" w:type="dxa"/>
            <w:vAlign w:val="bottom"/>
          </w:tcPr>
          <w:p>
            <w:pPr>
              <w:spacing w:after="0"/>
              <w:rPr>
                <w:sz w:val="1"/>
                <w:szCs w:val="1"/>
                <w:color w:val="auto"/>
              </w:rPr>
            </w:pPr>
          </w:p>
        </w:tc>
      </w:tr>
      <w:tr>
        <w:trPr>
          <w:trHeight w:val="269"/>
        </w:trPr>
        <w:tc>
          <w:tcPr>
            <w:tcW w:w="3160" w:type="dxa"/>
            <w:vAlign w:val="bottom"/>
            <w:gridSpan w:val="2"/>
          </w:tcPr>
          <w:p>
            <w:pPr>
              <w:ind w:left="60"/>
              <w:spacing w:after="0"/>
              <w:rPr>
                <w:sz w:val="20"/>
                <w:szCs w:val="20"/>
                <w:color w:val="auto"/>
              </w:rPr>
            </w:pPr>
            <w:r>
              <w:rPr>
                <w:rFonts w:ascii="Arial" w:cs="Arial" w:eastAsia="Arial" w:hAnsi="Arial"/>
                <w:sz w:val="20"/>
                <w:szCs w:val="20"/>
                <w:color w:val="auto"/>
              </w:rPr>
              <w:t>Effective tax rate</w:t>
            </w:r>
          </w:p>
        </w:tc>
        <w:tc>
          <w:tcPr>
            <w:tcW w:w="920" w:type="dxa"/>
            <w:vAlign w:val="bottom"/>
          </w:tcPr>
          <w:p>
            <w:pPr>
              <w:jc w:val="right"/>
              <w:spacing w:after="0"/>
              <w:rPr>
                <w:sz w:val="20"/>
                <w:szCs w:val="20"/>
                <w:color w:val="auto"/>
              </w:rPr>
            </w:pPr>
            <w:r>
              <w:rPr>
                <w:rFonts w:ascii="Arial" w:cs="Arial" w:eastAsia="Arial" w:hAnsi="Arial"/>
                <w:sz w:val="20"/>
                <w:szCs w:val="20"/>
                <w:color w:val="auto"/>
              </w:rPr>
              <w:t>24.6 %</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24.9 %</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23.5 %</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(0.3)%</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ind w:left="280"/>
              <w:spacing w:after="0"/>
              <w:rPr>
                <w:sz w:val="20"/>
                <w:szCs w:val="20"/>
                <w:color w:val="auto"/>
              </w:rPr>
            </w:pPr>
            <w:r>
              <w:rPr>
                <w:rFonts w:ascii="Arial" w:cs="Arial" w:eastAsia="Arial" w:hAnsi="Arial"/>
                <w:sz w:val="20"/>
                <w:szCs w:val="20"/>
                <w:color w:val="auto"/>
                <w:w w:val="89"/>
              </w:rPr>
              <w:t>1.4 %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360" w:firstLine="709"/>
        <w:spacing w:after="0" w:line="333" w:lineRule="auto"/>
        <w:rPr>
          <w:sz w:val="20"/>
          <w:szCs w:val="20"/>
          <w:color w:val="auto"/>
        </w:rPr>
      </w:pPr>
      <w:r>
        <w:rPr>
          <w:rFonts w:ascii="Arial" w:cs="Arial" w:eastAsia="Arial" w:hAnsi="Arial"/>
          <w:sz w:val="18"/>
          <w:szCs w:val="18"/>
          <w:color w:val="auto"/>
        </w:rPr>
        <w:t>For the year ended December 31, 2024, the provision for income taxes increased $5.7 million from the comparable period in 2023 driven by the increase in pre-tax income. The effective tax rate remained relatively consistent.</w:t>
      </w:r>
    </w:p>
    <w:p>
      <w:pPr>
        <w:spacing w:after="0" w:line="56" w:lineRule="exact"/>
        <w:rPr>
          <w:sz w:val="20"/>
          <w:szCs w:val="20"/>
          <w:color w:val="auto"/>
        </w:rPr>
      </w:pPr>
    </w:p>
    <w:p>
      <w:pPr>
        <w:jc w:val="both"/>
        <w:ind w:right="100" w:firstLine="709"/>
        <w:spacing w:after="0" w:line="256" w:lineRule="auto"/>
        <w:rPr>
          <w:sz w:val="20"/>
          <w:szCs w:val="20"/>
          <w:color w:val="auto"/>
        </w:rPr>
      </w:pPr>
      <w:r>
        <w:rPr>
          <w:rFonts w:ascii="Arial" w:cs="Arial" w:eastAsia="Arial" w:hAnsi="Arial"/>
          <w:sz w:val="20"/>
          <w:szCs w:val="20"/>
          <w:color w:val="auto"/>
        </w:rPr>
        <w:t>For the year ended December 31, 2023, the provision for income taxes was relatively consistent with the comparable period in 2022 despite a decrease in pre-tax earnings. The effective tax rate for 2023 was 24.9% which is higher than the 2022 effective tax rate of 23.5% primarily due to the utilization of unbenefited losses in 2022, which reduced the effective tax rate in that period.</w:t>
      </w:r>
    </w:p>
    <w:p>
      <w:pPr>
        <w:spacing w:after="0" w:line="122" w:lineRule="exact"/>
        <w:rPr>
          <w:sz w:val="20"/>
          <w:szCs w:val="20"/>
          <w:color w:val="auto"/>
        </w:rPr>
      </w:pPr>
    </w:p>
    <w:p>
      <w:pPr>
        <w:ind w:right="160" w:firstLine="709"/>
        <w:spacing w:after="0" w:line="281" w:lineRule="auto"/>
        <w:rPr>
          <w:sz w:val="20"/>
          <w:szCs w:val="20"/>
          <w:color w:val="auto"/>
        </w:rPr>
      </w:pPr>
      <w:r>
        <w:rPr>
          <w:rFonts w:ascii="Arial" w:cs="Arial" w:eastAsia="Arial" w:hAnsi="Arial"/>
          <w:sz w:val="19"/>
          <w:szCs w:val="19"/>
          <w:color w:val="auto"/>
        </w:rPr>
        <w:t>The 2022 effective tax rates benefited from the utilization of previously unbenefited losses in certain of our Canadian entities for which we had previously recognized valuation allowances. As of December 31, 2022, these net operating losses were fully utilized and any remaining valuation allowance, which was nominal, was released.</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8" w:lineRule="exact"/>
        <w:rPr>
          <w:sz w:val="20"/>
          <w:szCs w:val="20"/>
          <w:color w:val="auto"/>
        </w:rPr>
      </w:pPr>
    </w:p>
    <w:p>
      <w:pPr>
        <w:ind w:right="20" w:firstLine="709"/>
        <w:spacing w:after="0" w:line="293"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We monitor our actual needs and forecasted cash flows, our liquidity and our capital resources,</w:t>
      </w:r>
    </w:p>
    <w:p>
      <w:pPr>
        <w:sectPr>
          <w:pgSz w:w="11880" w:h="15480" w:orient="portrait"/>
          <w:cols w:equalWidth="0" w:num="1">
            <w:col w:w="10120"/>
          </w:cols>
          <w:pgMar w:left="880" w:top="567" w:right="88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880" w:h="15480" w:orient="portrait"/>
          <w:cols w:equalWidth="0" w:num="1">
            <w:col w:w="10120"/>
          </w:cols>
          <w:pgMar w:left="880" w:top="567" w:right="880" w:bottom="0" w:gutter="0" w:footer="0" w:header="0"/>
          <w:type w:val="continuous"/>
        </w:sectPr>
      </w:pPr>
    </w:p>
    <w:bookmarkStart w:id="46" w:name="page47"/>
    <w:bookmarkEnd w:id="46"/>
    <w:p>
      <w:pPr>
        <w:ind w:right="80"/>
        <w:spacing w:after="0" w:line="281" w:lineRule="auto"/>
        <w:rPr>
          <w:sz w:val="20"/>
          <w:szCs w:val="20"/>
          <w:color w:val="auto"/>
        </w:rPr>
      </w:pPr>
      <w:r>
        <w:rPr>
          <w:rFonts w:ascii="Arial" w:cs="Arial" w:eastAsia="Arial" w:hAnsi="Arial"/>
          <w:sz w:val="19"/>
          <w:szCs w:val="19"/>
          <w:color w:val="auto"/>
        </w:rPr>
        <w:t>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Cash Flow Activity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For the years ended December 31,</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E6E6E6"/>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E6E6E6"/>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E6E6E6"/>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E6E6E6"/>
            </w:tcBorders>
          </w:tcPr>
          <w:p>
            <w:pPr>
              <w:spacing w:after="0"/>
              <w:rPr>
                <w:sz w:val="20"/>
                <w:szCs w:val="20"/>
                <w:color w:val="auto"/>
              </w:rPr>
            </w:pPr>
          </w:p>
        </w:tc>
      </w:tr>
      <w:tr>
        <w:trPr>
          <w:trHeight w:val="271"/>
        </w:trPr>
        <w:tc>
          <w:tcPr>
            <w:tcW w:w="52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Net cash from operating activities</w:t>
            </w:r>
          </w:p>
        </w:tc>
        <w:tc>
          <w:tcPr>
            <w:tcW w:w="380" w:type="dxa"/>
            <w:vAlign w:val="bottom"/>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777,771</w:t>
            </w:r>
          </w:p>
        </w:tc>
        <w:tc>
          <w:tcPr>
            <w:tcW w:w="460" w:type="dxa"/>
            <w:vAlign w:val="bottom"/>
            <w:gridSpan w:val="2"/>
            <w:shd w:val="clear" w:color="auto" w:fill="E6E6E6"/>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734,552</w:t>
            </w:r>
          </w:p>
        </w:tc>
        <w:tc>
          <w:tcPr>
            <w:tcW w:w="600" w:type="dxa"/>
            <w:vAlign w:val="bottom"/>
            <w:gridSpan w:val="2"/>
            <w:shd w:val="clear" w:color="auto" w:fill="E6E6E6"/>
          </w:tcPr>
          <w:p>
            <w:pPr>
              <w:jc w:val="right"/>
              <w:ind w:right="380"/>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626,214</w:t>
            </w:r>
          </w:p>
        </w:tc>
        <w:tc>
          <w:tcPr>
            <w:tcW w:w="20" w:type="dxa"/>
            <w:vAlign w:val="bottom"/>
            <w:shd w:val="clear" w:color="auto" w:fill="E6E6E6"/>
          </w:tcPr>
          <w:p>
            <w:pPr>
              <w:spacing w:after="0"/>
              <w:rPr>
                <w:sz w:val="23"/>
                <w:szCs w:val="23"/>
                <w:color w:val="auto"/>
              </w:rPr>
            </w:pPr>
          </w:p>
        </w:tc>
      </w:tr>
      <w:tr>
        <w:trPr>
          <w:trHeight w:val="275"/>
        </w:trPr>
        <w:tc>
          <w:tcPr>
            <w:tcW w:w="5260" w:type="dxa"/>
            <w:vAlign w:val="bottom"/>
            <w:gridSpan w:val="2"/>
          </w:tcPr>
          <w:p>
            <w:pPr>
              <w:ind w:left="60"/>
              <w:spacing w:after="0"/>
              <w:rPr>
                <w:sz w:val="20"/>
                <w:szCs w:val="20"/>
                <w:color w:val="auto"/>
              </w:rPr>
            </w:pPr>
            <w:r>
              <w:rPr>
                <w:rFonts w:ascii="Arial" w:cs="Arial" w:eastAsia="Arial" w:hAnsi="Arial"/>
                <w:sz w:val="20"/>
                <w:szCs w:val="20"/>
                <w:color w:val="auto"/>
              </w:rPr>
              <w:t>Net cash used in investing activities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(903,674)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(575,050)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(388,944)</w:t>
            </w:r>
          </w:p>
        </w:tc>
        <w:tc>
          <w:tcPr>
            <w:tcW w:w="20" w:type="dxa"/>
            <w:vAlign w:val="bottom"/>
          </w:tcPr>
          <w:p>
            <w:pPr>
              <w:spacing w:after="0"/>
              <w:rPr>
                <w:sz w:val="23"/>
                <w:szCs w:val="23"/>
                <w:color w:val="auto"/>
              </w:rPr>
            </w:pPr>
          </w:p>
        </w:tc>
      </w:tr>
      <w:tr>
        <w:trPr>
          <w:trHeight w:val="287"/>
        </w:trPr>
        <w:tc>
          <w:tcPr>
            <w:tcW w:w="52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Net cash from (used in) financing activities</w:t>
            </w: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377,032</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(208,891)</w:t>
            </w:r>
          </w:p>
        </w:tc>
        <w:tc>
          <w:tcPr>
            <w:tcW w:w="8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(187,315)</w:t>
            </w:r>
          </w:p>
        </w:tc>
        <w:tc>
          <w:tcPr>
            <w:tcW w:w="20" w:type="dxa"/>
            <w:vAlign w:val="bottom"/>
            <w:shd w:val="clear" w:color="auto" w:fill="E6E6E6"/>
          </w:tcPr>
          <w:p>
            <w:pPr>
              <w:spacing w:after="0"/>
              <w:rPr>
                <w:sz w:val="24"/>
                <w:szCs w:val="24"/>
                <w:color w:val="auto"/>
              </w:rPr>
            </w:pPr>
          </w:p>
        </w:tc>
      </w:tr>
    </w:tbl>
    <w:p>
      <w:pPr>
        <w:spacing w:after="0" w:line="191"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Net cash from operating activities</w:t>
      </w:r>
    </w:p>
    <w:p>
      <w:pPr>
        <w:spacing w:after="0" w:line="167" w:lineRule="exact"/>
        <w:rPr>
          <w:sz w:val="20"/>
          <w:szCs w:val="20"/>
          <w:color w:val="auto"/>
        </w:rPr>
      </w:pPr>
    </w:p>
    <w:p>
      <w:pPr>
        <w:ind w:right="60" w:firstLine="709"/>
        <w:spacing w:after="0" w:line="256" w:lineRule="auto"/>
        <w:rPr>
          <w:sz w:val="20"/>
          <w:szCs w:val="20"/>
          <w:color w:val="auto"/>
        </w:rPr>
      </w:pPr>
      <w:r>
        <w:rPr>
          <w:rFonts w:ascii="Arial" w:cs="Arial" w:eastAsia="Arial" w:hAnsi="Arial"/>
          <w:sz w:val="20"/>
          <w:szCs w:val="20"/>
          <w:color w:val="auto"/>
        </w:rPr>
        <w:t>Net cash from operating activities for the year ended December 31, 2024 was $777.8 million as compared to $734.6 million for year ended December 31, 2023. This $43.2 million increase in operating cash flows was attributable to higher operating income and lower cash paid for environmental expenditures which was partially offset by higher cash paid for interest and working capital balances.</w:t>
      </w:r>
    </w:p>
    <w:p>
      <w:pPr>
        <w:spacing w:after="0" w:line="122" w:lineRule="exact"/>
        <w:rPr>
          <w:sz w:val="20"/>
          <w:szCs w:val="20"/>
          <w:color w:val="auto"/>
        </w:rPr>
      </w:pPr>
    </w:p>
    <w:p>
      <w:pPr>
        <w:ind w:right="80" w:firstLine="709"/>
        <w:spacing w:after="0" w:line="256" w:lineRule="auto"/>
        <w:rPr>
          <w:sz w:val="20"/>
          <w:szCs w:val="20"/>
          <w:color w:val="auto"/>
        </w:rPr>
      </w:pPr>
      <w:r>
        <w:rPr>
          <w:rFonts w:ascii="Arial" w:cs="Arial" w:eastAsia="Arial" w:hAnsi="Arial"/>
          <w:sz w:val="20"/>
          <w:szCs w:val="20"/>
          <w:color w:val="auto"/>
        </w:rPr>
        <w:t>Net cash from operating activities for the year ended December 31, 2023 was $734.6 million, as compared to $626.2 million for the year ended December 31, 2022. This $108.3 million increase in operating cash flows was attributable to improvement in working capital balances, partially offset by higher cash paid for income taxes, environmental expenditures and interest.</w:t>
      </w:r>
    </w:p>
    <w:p>
      <w:pPr>
        <w:spacing w:after="0" w:line="11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Net cash used in investing activities</w:t>
      </w:r>
    </w:p>
    <w:p>
      <w:pPr>
        <w:spacing w:after="0" w:line="167" w:lineRule="exact"/>
        <w:rPr>
          <w:sz w:val="20"/>
          <w:szCs w:val="20"/>
          <w:color w:val="auto"/>
        </w:rPr>
      </w:pPr>
    </w:p>
    <w:p>
      <w:pPr>
        <w:ind w:right="80" w:firstLine="709"/>
        <w:spacing w:after="0" w:line="265" w:lineRule="auto"/>
        <w:rPr>
          <w:sz w:val="20"/>
          <w:szCs w:val="20"/>
          <w:color w:val="auto"/>
        </w:rPr>
      </w:pPr>
      <w:r>
        <w:rPr>
          <w:rFonts w:ascii="Arial" w:cs="Arial" w:eastAsia="Arial" w:hAnsi="Arial"/>
          <w:sz w:val="19"/>
          <w:szCs w:val="19"/>
          <w:color w:val="auto"/>
        </w:rPr>
        <w:t>Net cash used in investing activities for the year ended December 31, 2024 was $903.7 million, an increase of $328.6 million compared to the year ended December 31, 2023. Cash used for acquisitions increased $358.4 million, primarily because we invested more capital in the acquisitions of HEPACO and Noble compared to the amount spent on acquiring Thompson Industrial in 2023. A $6.3 million net sale of marketable securities in 2024 as compared to a $40.9 million net purchase of marketable securities in 2023 partially offset the additional cash spent on acquisitions. Amounts spent on additions to property, plant and equipment, net of proceeds from the sale and disposal of fixed assets increased $10.5 million, largely driven by notable project spend including $15.9 million spent on the Baltimore, Maryland facility partially offset by lower spend on the Kimball incinerator. Construction on the Kimball incinerator began in 2021 and the project was completed in the fourth quarter of 2024.</w:t>
      </w:r>
    </w:p>
    <w:p>
      <w:pPr>
        <w:spacing w:after="0" w:line="114" w:lineRule="exact"/>
        <w:rPr>
          <w:sz w:val="20"/>
          <w:szCs w:val="20"/>
          <w:color w:val="auto"/>
        </w:rPr>
      </w:pPr>
    </w:p>
    <w:p>
      <w:pPr>
        <w:ind w:right="200" w:firstLine="709"/>
        <w:spacing w:after="0" w:line="264" w:lineRule="auto"/>
        <w:rPr>
          <w:sz w:val="20"/>
          <w:szCs w:val="20"/>
          <w:color w:val="auto"/>
        </w:rPr>
      </w:pPr>
      <w:r>
        <w:rPr>
          <w:rFonts w:ascii="Arial" w:cs="Arial" w:eastAsia="Arial" w:hAnsi="Arial"/>
          <w:sz w:val="19"/>
          <w:szCs w:val="19"/>
          <w:color w:val="auto"/>
        </w:rPr>
        <w:t>Net cash used in investing activities for the year ended December 31, 2023 was $575.1 million, an increase of $186.1 million compared to the year ended December 31, 2022. Amounts spent on additions to property, plant and equipment, net of proceeds from the sale and disposal of fixed assets increased $76.4 million, primarily driven by incremental spend to build the incinerator in Kimball, Nebraska. Total spending in 2023 related to the construction of the Kimball incinerator was $82.6 million compared to $44.9 million spent on the project in 2022. Also contributing to the overall increase in cash used in investing activities was a $40.9 million cash outflow from the net purchase of marketable securities in 2023 compared to a $18.8 million cash inflow from the net sale of marketable securities in 2022. Cash paid for acquisitions, net of cash acquired reflected an increase of $33.3 million due to the acquisition of Thompson Industrial in 2023 for $110.9 million compared to $86.3 million paid for acquisitions in 2022. The cash flows in 2022 also include $16.8 million of proceeds from the sale of a business which didn't recur in 2023.</w:t>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Net cash from (used in) financing activities</w:t>
      </w:r>
    </w:p>
    <w:p>
      <w:pPr>
        <w:spacing w:after="0" w:line="167" w:lineRule="exact"/>
        <w:rPr>
          <w:sz w:val="20"/>
          <w:szCs w:val="20"/>
          <w:color w:val="auto"/>
        </w:rPr>
      </w:pPr>
    </w:p>
    <w:p>
      <w:pPr>
        <w:ind w:right="120" w:firstLine="709"/>
        <w:spacing w:after="0" w:line="284" w:lineRule="auto"/>
        <w:rPr>
          <w:sz w:val="20"/>
          <w:szCs w:val="20"/>
          <w:color w:val="auto"/>
        </w:rPr>
      </w:pPr>
      <w:r>
        <w:rPr>
          <w:rFonts w:ascii="Arial" w:cs="Arial" w:eastAsia="Arial" w:hAnsi="Arial"/>
          <w:sz w:val="18"/>
          <w:szCs w:val="18"/>
          <w:color w:val="auto"/>
        </w:rPr>
        <w:t>Net cash from financing activities for the year ended December 31, 2024 was $377.0 million as compared net cash used in financing activities of $208.9 million for the year ended December 31, 2023. The primary driver of this change was the incurrence of additional term loans, net of discount, of $499.4 million in 2024. This debt issuance, along with the principal repayments during 2024, resulted in a net cash inflow of $484.3 million in 2024 as compared to a net debt repayment of $124.0 million in 2023. For more information on the debt transactions during 2024 and 2023 refer to Note 12, "Financing Arrangements" to our consolidated financial statements included in Item 8 of this report. Additionally, the company paid $14.9 million more in principal payments on finance leases in 2024 as compared to 2023.</w:t>
      </w:r>
    </w:p>
    <w:p>
      <w:pPr>
        <w:spacing w:after="0" w:line="98" w:lineRule="exact"/>
        <w:rPr>
          <w:sz w:val="20"/>
          <w:szCs w:val="20"/>
          <w:color w:val="auto"/>
        </w:rPr>
      </w:pPr>
    </w:p>
    <w:p>
      <w:pPr>
        <w:ind w:right="120" w:firstLine="709"/>
        <w:spacing w:after="0" w:line="303" w:lineRule="auto"/>
        <w:rPr>
          <w:sz w:val="20"/>
          <w:szCs w:val="20"/>
          <w:color w:val="auto"/>
        </w:rPr>
      </w:pPr>
      <w:r>
        <w:rPr>
          <w:rFonts w:ascii="Arial" w:cs="Arial" w:eastAsia="Arial" w:hAnsi="Arial"/>
          <w:sz w:val="18"/>
          <w:szCs w:val="18"/>
          <w:color w:val="auto"/>
        </w:rPr>
        <w:t>Net cash used in financing activities for the year ended December 31, 2023 was $208.9 million as compared to $187.3 million for the year ended December 31, 2022. The total increase of $21.6 million during 2023 is due to $8.3 million of incremental debt repayments, $6.3 million of incremental deferred financing costs paid and a $5.0 million increase in</w:t>
      </w:r>
    </w:p>
    <w:p>
      <w:pPr>
        <w:sectPr>
          <w:pgSz w:w="11880" w:h="15480" w:orient="portrait"/>
          <w:cols w:equalWidth="0" w:num="1">
            <w:col w:w="10160"/>
          </w:cols>
          <w:pgMar w:left="880" w:top="5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39</w:t>
      </w:r>
    </w:p>
    <w:p>
      <w:pPr>
        <w:sectPr>
          <w:pgSz w:w="11880" w:h="15480" w:orient="portrait"/>
          <w:cols w:equalWidth="0" w:num="1">
            <w:col w:w="10160"/>
          </w:cols>
          <w:pgMar w:left="880" w:top="575" w:right="840" w:bottom="0" w:gutter="0" w:footer="0" w:header="0"/>
          <w:type w:val="continuous"/>
        </w:sectPr>
      </w:pPr>
    </w:p>
    <w:bookmarkStart w:id="47" w:name="page48"/>
    <w:bookmarkEnd w:id="47"/>
    <w:p>
      <w:pPr>
        <w:ind w:right="80"/>
        <w:spacing w:after="0" w:line="276" w:lineRule="auto"/>
        <w:rPr>
          <w:sz w:val="20"/>
          <w:szCs w:val="20"/>
          <w:color w:val="auto"/>
        </w:rPr>
      </w:pPr>
      <w:r>
        <w:rPr>
          <w:rFonts w:ascii="Arial" w:cs="Arial" w:eastAsia="Arial" w:hAnsi="Arial"/>
          <w:sz w:val="20"/>
          <w:szCs w:val="20"/>
          <w:color w:val="auto"/>
        </w:rPr>
        <w:t>withholdings paid for taxes on vested restricted stock. The increase in the withholdings paid on vested restricted stock is due to the higher share prices at vesting during 2023.</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Free Cash Flow</w:t>
      </w:r>
    </w:p>
    <w:p>
      <w:pPr>
        <w:spacing w:after="0" w:line="172" w:lineRule="exact"/>
        <w:rPr>
          <w:sz w:val="20"/>
          <w:szCs w:val="20"/>
          <w:color w:val="auto"/>
        </w:rPr>
      </w:pPr>
    </w:p>
    <w:p>
      <w:pPr>
        <w:ind w:right="40" w:firstLine="709"/>
        <w:spacing w:after="0" w:line="282" w:lineRule="auto"/>
        <w:rPr>
          <w:sz w:val="20"/>
          <w:szCs w:val="20"/>
          <w:color w:val="auto"/>
        </w:rPr>
      </w:pPr>
      <w:r>
        <w:rPr>
          <w:rFonts w:ascii="Arial" w:cs="Arial" w:eastAsia="Arial" w:hAnsi="Arial"/>
          <w:sz w:val="18"/>
          <w:szCs w:val="18"/>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When necessary, management adjusts for the cash impact of items derived from non-operating activities.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03" w:lineRule="exact"/>
        <w:rPr>
          <w:sz w:val="20"/>
          <w:szCs w:val="20"/>
          <w:color w:val="auto"/>
        </w:rPr>
      </w:pPr>
    </w:p>
    <w:p>
      <w:pPr>
        <w:ind w:right="260" w:firstLine="709"/>
        <w:spacing w:after="0" w:line="276" w:lineRule="auto"/>
        <w:rPr>
          <w:sz w:val="20"/>
          <w:szCs w:val="20"/>
          <w:color w:val="auto"/>
        </w:rPr>
      </w:pPr>
      <w:r>
        <w:rPr>
          <w:rFonts w:ascii="Arial" w:cs="Arial" w:eastAsia="Arial" w:hAnsi="Arial"/>
          <w:sz w:val="20"/>
          <w:szCs w:val="20"/>
          <w:color w:val="auto"/>
        </w:rPr>
        <w:t>The following is a reconciliation from net cash from operating activities to adjusted free cash flow for the following periods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7"/>
          </w:tcPr>
          <w:p>
            <w:pPr>
              <w:jc w:val="right"/>
              <w:ind w:right="703"/>
              <w:spacing w:after="0"/>
              <w:rPr>
                <w:sz w:val="20"/>
                <w:szCs w:val="20"/>
                <w:color w:val="auto"/>
              </w:rPr>
            </w:pPr>
            <w:r>
              <w:rPr>
                <w:rFonts w:ascii="Arial" w:cs="Arial" w:eastAsia="Arial" w:hAnsi="Arial"/>
                <w:sz w:val="18"/>
                <w:szCs w:val="18"/>
                <w:b w:val="1"/>
                <w:bCs w:val="1"/>
                <w:color w:val="auto"/>
              </w:rPr>
              <w:t>For the years ended December 31,</w:t>
            </w:r>
          </w:p>
        </w:tc>
      </w:tr>
      <w:tr>
        <w:trPr>
          <w:trHeight w:val="231"/>
        </w:trPr>
        <w:tc>
          <w:tcPr>
            <w:tcW w:w="59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8"/>
                <w:szCs w:val="18"/>
                <w:b w:val="1"/>
                <w:bCs w:val="1"/>
                <w:color w:val="auto"/>
              </w:rPr>
              <w:t>2022</w:t>
            </w:r>
          </w:p>
        </w:tc>
      </w:tr>
      <w:tr>
        <w:trPr>
          <w:trHeight w:val="271"/>
        </w:trPr>
        <w:tc>
          <w:tcPr>
            <w:tcW w:w="5920" w:type="dxa"/>
            <w:vAlign w:val="bottom"/>
            <w:shd w:val="clear" w:color="auto" w:fill="E6E6E6"/>
          </w:tcPr>
          <w:p>
            <w:pPr>
              <w:ind w:left="60"/>
              <w:spacing w:after="0"/>
              <w:rPr>
                <w:sz w:val="20"/>
                <w:szCs w:val="20"/>
                <w:color w:val="auto"/>
              </w:rPr>
            </w:pPr>
            <w:r>
              <w:rPr>
                <w:rFonts w:ascii="Arial" w:cs="Arial" w:eastAsia="Arial" w:hAnsi="Arial"/>
                <w:sz w:val="20"/>
                <w:szCs w:val="20"/>
                <w:color w:val="auto"/>
              </w:rPr>
              <w:t>Net cash from operating activities</w:t>
            </w:r>
          </w:p>
        </w:tc>
        <w:tc>
          <w:tcPr>
            <w:tcW w:w="320" w:type="dxa"/>
            <w:vAlign w:val="bottom"/>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777,771</w:t>
            </w:r>
          </w:p>
        </w:tc>
        <w:tc>
          <w:tcPr>
            <w:tcW w:w="400" w:type="dxa"/>
            <w:vAlign w:val="bottom"/>
            <w:gridSpan w:val="2"/>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734,552</w:t>
            </w:r>
          </w:p>
        </w:tc>
        <w:tc>
          <w:tcPr>
            <w:tcW w:w="400" w:type="dxa"/>
            <w:vAlign w:val="bottom"/>
            <w:gridSpan w:val="2"/>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626,214</w:t>
            </w:r>
          </w:p>
        </w:tc>
      </w:tr>
      <w:tr>
        <w:trPr>
          <w:trHeight w:val="275"/>
        </w:trPr>
        <w:tc>
          <w:tcPr>
            <w:tcW w:w="5920" w:type="dxa"/>
            <w:vAlign w:val="bottom"/>
          </w:tcPr>
          <w:p>
            <w:pPr>
              <w:ind w:left="60"/>
              <w:spacing w:after="0"/>
              <w:rPr>
                <w:sz w:val="20"/>
                <w:szCs w:val="20"/>
                <w:color w:val="auto"/>
              </w:rPr>
            </w:pPr>
            <w:r>
              <w:rPr>
                <w:rFonts w:ascii="Arial" w:cs="Arial" w:eastAsia="Arial" w:hAnsi="Arial"/>
                <w:sz w:val="20"/>
                <w:szCs w:val="20"/>
                <w:color w:val="auto"/>
              </w:rPr>
              <w:t>Additions to property, plant and equipment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(432,241)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(422,300)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(345,056)</w:t>
            </w:r>
          </w:p>
        </w:tc>
      </w:tr>
      <w:tr>
        <w:trPr>
          <w:trHeight w:val="287"/>
        </w:trPr>
        <w:tc>
          <w:tcPr>
            <w:tcW w:w="5920" w:type="dxa"/>
            <w:vAlign w:val="bottom"/>
            <w:shd w:val="clear" w:color="auto" w:fill="E6E6E6"/>
          </w:tcPr>
          <w:p>
            <w:pPr>
              <w:ind w:left="60"/>
              <w:spacing w:after="0"/>
              <w:rPr>
                <w:sz w:val="20"/>
                <w:szCs w:val="20"/>
                <w:color w:val="auto"/>
              </w:rPr>
            </w:pPr>
            <w:r>
              <w:rPr>
                <w:rFonts w:ascii="Arial" w:cs="Arial" w:eastAsia="Arial" w:hAnsi="Arial"/>
                <w:sz w:val="20"/>
                <w:szCs w:val="20"/>
                <w:color w:val="auto"/>
              </w:rPr>
              <w:t>Proceeds from sale and disposal of fixed assets</w:t>
            </w: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9,099</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9,650</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8,779</w:t>
            </w:r>
          </w:p>
        </w:tc>
      </w:tr>
      <w:tr>
        <w:trPr>
          <w:trHeight w:val="271"/>
        </w:trPr>
        <w:tc>
          <w:tcPr>
            <w:tcW w:w="592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Kimball startup costs</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3,253</w:t>
            </w:r>
          </w:p>
        </w:tc>
        <w:tc>
          <w:tcPr>
            <w:tcW w:w="80" w:type="dxa"/>
            <w:vAlign w:val="bottom"/>
            <w:tcBorders>
              <w:bottom w:val="single" w:sz="8" w:color="E6E6E6"/>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59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Adjusted free cash flow</w:t>
            </w:r>
          </w:p>
        </w:tc>
        <w:tc>
          <w:tcPr>
            <w:tcW w:w="320" w:type="dxa"/>
            <w:vAlign w:val="bottom"/>
            <w:tcBorders>
              <w:bottom w:val="single" w:sz="8" w:color="auto"/>
            </w:tcBorders>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357,882</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321,902</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289,937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-43180</wp:posOffset>
            </wp:positionV>
            <wp:extent cx="2680335" cy="50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0335" cy="50165"/>
                    </a:xfrm>
                    <a:prstGeom prst="rect">
                      <a:avLst/>
                    </a:prstGeom>
                    <a:noFill/>
                  </pic:spPr>
                </pic:pic>
              </a:graphicData>
            </a:graphic>
          </wp:anchor>
        </w:drawing>
      </w:r>
    </w:p>
    <w:p>
      <w:pPr>
        <w:spacing w:after="0" w:line="145" w:lineRule="exact"/>
        <w:rPr>
          <w:sz w:val="20"/>
          <w:szCs w:val="20"/>
          <w:color w:val="auto"/>
        </w:rPr>
      </w:pPr>
    </w:p>
    <w:p>
      <w:pPr>
        <w:ind w:right="20" w:firstLine="709"/>
        <w:spacing w:after="0" w:line="254" w:lineRule="auto"/>
        <w:rPr>
          <w:sz w:val="20"/>
          <w:szCs w:val="20"/>
          <w:color w:val="auto"/>
        </w:rPr>
      </w:pPr>
      <w:r>
        <w:rPr>
          <w:rFonts w:ascii="Arial" w:cs="Arial" w:eastAsia="Arial" w:hAnsi="Arial"/>
          <w:sz w:val="20"/>
          <w:szCs w:val="20"/>
          <w:color w:val="auto"/>
        </w:rPr>
        <w:t>The increases in Additions to property, plant and equipment in 2024 and 2023 in the table above were primarily driven by the incremental spend on strategic growth initiatives including the Kimball incinerator and, in 2024, the expansion of our Baltimore facility. Total spending on the Kimball, Nebraska incinerator construction through December 31, 2024 was $210.9 million with $76.2 million spent in 2024, $82.6 million spent in 2023 and $44.9 million spent in 2022. In 2024, we spent $15.9 million on the Baltimore, Maryland facility.</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Capital Resources</w:t>
      </w:r>
    </w:p>
    <w:p>
      <w:pPr>
        <w:spacing w:after="0" w:line="172" w:lineRule="exact"/>
        <w:rPr>
          <w:sz w:val="20"/>
          <w:szCs w:val="20"/>
          <w:color w:val="auto"/>
        </w:rPr>
      </w:pPr>
    </w:p>
    <w:p>
      <w:pPr>
        <w:ind w:right="360" w:firstLine="709"/>
        <w:spacing w:after="0" w:line="254" w:lineRule="auto"/>
        <w:rPr>
          <w:sz w:val="20"/>
          <w:szCs w:val="20"/>
          <w:color w:val="auto"/>
        </w:rPr>
      </w:pPr>
      <w:r>
        <w:rPr>
          <w:rFonts w:ascii="Arial" w:cs="Arial" w:eastAsia="Arial" w:hAnsi="Arial"/>
          <w:sz w:val="20"/>
          <w:szCs w:val="20"/>
          <w:color w:val="auto"/>
        </w:rPr>
        <w:t>At December 31, 2024, cash and cash equivalents and marketable securities totaled $789.8 million, compared to $550.8 million at December 31, 2023. At December 31, 2024, cash and cash equivalents held by our Canadian subsidiaries totaled $120.0 million. The cash and cash equivalents and marketable securities balance for our U.S. operations was $669.8 million at December 31, 2024. Our U.S. operations had net operating cash inflows of $702.3 million for the year ended December 31, 2024.</w:t>
      </w:r>
    </w:p>
    <w:p>
      <w:pPr>
        <w:spacing w:after="0" w:line="123" w:lineRule="exact"/>
        <w:rPr>
          <w:sz w:val="20"/>
          <w:szCs w:val="20"/>
          <w:color w:val="auto"/>
        </w:rPr>
      </w:pPr>
    </w:p>
    <w:p>
      <w:pPr>
        <w:ind w:right="60" w:firstLine="709"/>
        <w:spacing w:after="0" w:line="303" w:lineRule="auto"/>
        <w:rPr>
          <w:sz w:val="20"/>
          <w:szCs w:val="20"/>
          <w:color w:val="auto"/>
        </w:rPr>
      </w:pPr>
      <w:r>
        <w:rPr>
          <w:rFonts w:ascii="Arial" w:cs="Arial" w:eastAsia="Arial" w:hAnsi="Arial"/>
          <w:sz w:val="19"/>
          <w:szCs w:val="19"/>
          <w:color w:val="auto"/>
        </w:rPr>
        <w:t>We also maintain a $600.0 million revolving credit facility, of which, as of December 31, 2024, approximately $470.0 million was available to borrow under the facility, with letters of credit of $130.0 million outstanding.</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Material Capital Requirements</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Capital Expenditures</w:t>
      </w:r>
    </w:p>
    <w:p>
      <w:pPr>
        <w:spacing w:after="0" w:line="167" w:lineRule="exact"/>
        <w:rPr>
          <w:sz w:val="20"/>
          <w:szCs w:val="20"/>
          <w:color w:val="auto"/>
        </w:rPr>
      </w:pPr>
    </w:p>
    <w:p>
      <w:pPr>
        <w:ind w:right="140" w:firstLine="709"/>
        <w:spacing w:after="0" w:line="256" w:lineRule="auto"/>
        <w:rPr>
          <w:sz w:val="20"/>
          <w:szCs w:val="20"/>
          <w:color w:val="auto"/>
        </w:rPr>
      </w:pPr>
      <w:r>
        <w:rPr>
          <w:rFonts w:ascii="Arial" w:cs="Arial" w:eastAsia="Arial" w:hAnsi="Arial"/>
          <w:sz w:val="20"/>
          <w:szCs w:val="20"/>
          <w:color w:val="auto"/>
        </w:rPr>
        <w:t>In 2024, our net capital expenditures were $423.1 million inclusive of $76.2 million in capital spending on the construction of the Kimball, Nebraska incinerator and $15.9 million spent on the Baltimore, Maryland facility. We anticipate that 2025 capital spending, net of disposals, will be in the range of $360.0 million to $390.0 million. This includes a long term growth investment of $15 million that we plan to invest in a Phoenix facility.</w:t>
      </w:r>
    </w:p>
    <w:p>
      <w:pPr>
        <w:spacing w:after="0" w:line="122" w:lineRule="exact"/>
        <w:rPr>
          <w:sz w:val="20"/>
          <w:szCs w:val="20"/>
          <w:color w:val="auto"/>
        </w:rPr>
      </w:pPr>
    </w:p>
    <w:p>
      <w:pPr>
        <w:ind w:right="260" w:firstLine="709"/>
        <w:spacing w:after="0" w:line="261" w:lineRule="auto"/>
        <w:rPr>
          <w:sz w:val="20"/>
          <w:szCs w:val="20"/>
          <w:color w:val="auto"/>
        </w:rPr>
      </w:pPr>
      <w:r>
        <w:rPr>
          <w:rFonts w:ascii="Arial" w:cs="Arial" w:eastAsia="Arial" w:hAnsi="Arial"/>
          <w:sz w:val="20"/>
          <w:szCs w:val="20"/>
          <w:color w:val="auto"/>
        </w:rPr>
        <w:t>We anticipate that the capital spending will be funded by cash from our operations. Unanticipated changes in environmental regulations could require us to make significant capital expenditures for our facilities and adversely affect our results of operations and cash flow.</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Financing Arrangements</w:t>
      </w:r>
    </w:p>
    <w:p>
      <w:pPr>
        <w:spacing w:after="0" w:line="167" w:lineRule="exact"/>
        <w:rPr>
          <w:sz w:val="20"/>
          <w:szCs w:val="20"/>
          <w:color w:val="auto"/>
        </w:rPr>
      </w:pPr>
    </w:p>
    <w:p>
      <w:pPr>
        <w:ind w:right="200" w:firstLine="709"/>
        <w:spacing w:after="0" w:line="274" w:lineRule="auto"/>
        <w:rPr>
          <w:sz w:val="20"/>
          <w:szCs w:val="20"/>
          <w:color w:val="auto"/>
        </w:rPr>
      </w:pPr>
      <w:r>
        <w:rPr>
          <w:rFonts w:ascii="Arial" w:cs="Arial" w:eastAsia="Arial" w:hAnsi="Arial"/>
          <w:sz w:val="19"/>
          <w:szCs w:val="19"/>
          <w:color w:val="auto"/>
        </w:rPr>
        <w:t>As of December 31, 2024, our financing arrangements included (i) $545.0 million of 4.875% unsecured senior notes due 2027, (ii) $1,464.9 million of secured senior term loans due 2028, (iii) $300.0 million of 5.125% unsecured senior notes due 2029 and (iv) $500.0 million of 6.375% unsecured senior notes due 2031. As noted above, we also maintain our $600.0 million revolving credit facility with no amounts owed as of December 31, 2024.</w:t>
      </w:r>
    </w:p>
    <w:p>
      <w:pPr>
        <w:sectPr>
          <w:pgSz w:w="11880" w:h="15480" w:orient="portrait"/>
          <w:cols w:equalWidth="0" w:num="1">
            <w:col w:w="10100"/>
          </w:cols>
          <w:pgMar w:left="880" w:top="5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880" w:h="15480" w:orient="portrait"/>
          <w:cols w:equalWidth="0" w:num="1">
            <w:col w:w="10100"/>
          </w:cols>
          <w:pgMar w:left="880" w:top="575" w:right="900" w:bottom="0" w:gutter="0" w:footer="0" w:header="0"/>
          <w:type w:val="continuous"/>
        </w:sectPr>
      </w:pPr>
    </w:p>
    <w:bookmarkStart w:id="48" w:name="page49"/>
    <w:bookmarkEnd w:id="48"/>
    <w:p>
      <w:pPr>
        <w:ind w:right="460" w:firstLine="709"/>
        <w:spacing w:after="0" w:line="284" w:lineRule="auto"/>
        <w:rPr>
          <w:sz w:val="20"/>
          <w:szCs w:val="20"/>
          <w:color w:val="auto"/>
        </w:rPr>
      </w:pPr>
      <w:r>
        <w:rPr>
          <w:rFonts w:ascii="Arial" w:cs="Arial" w:eastAsia="Arial" w:hAnsi="Arial"/>
          <w:sz w:val="18"/>
          <w:szCs w:val="18"/>
          <w:color w:val="auto"/>
        </w:rPr>
        <w:t>The material terms of these arrangements are discussed further in Note 12, “Financing Arrangements,” to our consolidated financial statements included in Item 8 of this report. In 2025, we expect to pay $15.1 million in principal payments on the secured senior term loans and approximately $150 million in interest payments on the entire portfolio of financing arrangements, assuming the variable rate remains consistent throughout 2025. We expect that future payments of interest will continue to be funded through cash flows from operations and any principal payments will either be funded through available cash from operations or through available financing alternatives. We will continue to monitor our debt instruments and evaluate opportunities where it may be beneficial to refinance or reallocate the portfolio.</w:t>
      </w:r>
    </w:p>
    <w:p>
      <w:pPr>
        <w:spacing w:after="0" w:line="98" w:lineRule="exact"/>
        <w:rPr>
          <w:sz w:val="20"/>
          <w:szCs w:val="20"/>
          <w:color w:val="auto"/>
        </w:rPr>
      </w:pPr>
    </w:p>
    <w:p>
      <w:pPr>
        <w:ind w:right="100" w:firstLine="709"/>
        <w:spacing w:after="0" w:line="276" w:lineRule="auto"/>
        <w:rPr>
          <w:sz w:val="20"/>
          <w:szCs w:val="20"/>
          <w:color w:val="auto"/>
        </w:rPr>
      </w:pPr>
      <w:r>
        <w:rPr>
          <w:rFonts w:ascii="Arial" w:cs="Arial" w:eastAsia="Arial" w:hAnsi="Arial"/>
          <w:sz w:val="20"/>
          <w:szCs w:val="20"/>
          <w:color w:val="auto"/>
        </w:rPr>
        <w:t>As of December 31, 2024, we were in compliance with the covenants of all of our debt agreements, and we believe we will continue to meet such covenants.</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Environmental Liabilities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As of December 31,</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8"/>
                <w:szCs w:val="18"/>
                <w:b w:val="1"/>
                <w:bCs w:val="1"/>
                <w:color w:val="auto"/>
              </w:rPr>
              <w:t>2024 over 2023</w:t>
            </w: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56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 thousands)</w:t>
            </w:r>
          </w:p>
        </w:tc>
        <w:tc>
          <w:tcPr>
            <w:tcW w:w="6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45"/>
              <w:spacing w:after="0"/>
              <w:rPr>
                <w:sz w:val="20"/>
                <w:szCs w:val="20"/>
                <w:color w:val="auto"/>
              </w:rPr>
            </w:pPr>
            <w:r>
              <w:rPr>
                <w:rFonts w:ascii="Arial" w:cs="Arial" w:eastAsia="Arial" w:hAnsi="Arial"/>
                <w:sz w:val="18"/>
                <w:szCs w:val="18"/>
                <w:b w:val="1"/>
                <w:bCs w:val="1"/>
                <w:color w:val="auto"/>
                <w:w w:val="90"/>
              </w:rPr>
              <w:t>Change</w:t>
            </w:r>
          </w:p>
        </w:tc>
        <w:tc>
          <w:tcPr>
            <w:tcW w:w="60" w:type="dxa"/>
            <w:vAlign w:val="bottom"/>
            <w:tcBorders>
              <w:bottom w:val="single" w:sz="8" w:color="E6E6E6"/>
            </w:tcBorders>
          </w:tcPr>
          <w:p>
            <w:pPr>
              <w:spacing w:after="0"/>
              <w:rPr>
                <w:sz w:val="20"/>
                <w:szCs w:val="20"/>
                <w:color w:val="auto"/>
              </w:rPr>
            </w:pPr>
          </w:p>
        </w:tc>
        <w:tc>
          <w:tcPr>
            <w:tcW w:w="10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8"/>
                <w:szCs w:val="18"/>
                <w:b w:val="1"/>
                <w:bCs w:val="1"/>
                <w:color w:val="auto"/>
              </w:rPr>
              <w:t>% Change</w:t>
            </w:r>
          </w:p>
        </w:tc>
        <w:tc>
          <w:tcPr>
            <w:tcW w:w="20" w:type="dxa"/>
            <w:vAlign w:val="bottom"/>
            <w:tcBorders>
              <w:bottom w:val="single" w:sz="8" w:color="auto"/>
            </w:tcBorders>
          </w:tcPr>
          <w:p>
            <w:pPr>
              <w:spacing w:after="0"/>
              <w:rPr>
                <w:sz w:val="20"/>
                <w:szCs w:val="20"/>
                <w:color w:val="auto"/>
              </w:rPr>
            </w:pPr>
          </w:p>
        </w:tc>
      </w:tr>
      <w:tr>
        <w:trPr>
          <w:trHeight w:val="271"/>
        </w:trPr>
        <w:tc>
          <w:tcPr>
            <w:tcW w:w="574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Closure and post-closure liabilities</w:t>
            </w:r>
          </w:p>
        </w:tc>
        <w:tc>
          <w:tcPr>
            <w:tcW w:w="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ind w:left="80"/>
              <w:spacing w:after="0"/>
              <w:rPr>
                <w:sz w:val="20"/>
                <w:szCs w:val="20"/>
                <w:color w:val="auto"/>
              </w:rPr>
            </w:pPr>
            <w:r>
              <w:rPr>
                <w:rFonts w:ascii="Arial" w:cs="Arial" w:eastAsia="Arial" w:hAnsi="Arial"/>
                <w:sz w:val="20"/>
                <w:szCs w:val="20"/>
                <w:color w:val="auto"/>
                <w:w w:val="96"/>
              </w:rPr>
              <w:t>129,788</w:t>
            </w:r>
          </w:p>
        </w:tc>
        <w:tc>
          <w:tcPr>
            <w:tcW w:w="3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E6E6E6"/>
          </w:tcPr>
          <w:p>
            <w:pPr>
              <w:ind w:left="100"/>
              <w:spacing w:after="0"/>
              <w:rPr>
                <w:sz w:val="20"/>
                <w:szCs w:val="20"/>
                <w:color w:val="auto"/>
              </w:rPr>
            </w:pPr>
            <w:r>
              <w:rPr>
                <w:rFonts w:ascii="Arial" w:cs="Arial" w:eastAsia="Arial" w:hAnsi="Arial"/>
                <w:sz w:val="20"/>
                <w:szCs w:val="20"/>
                <w:color w:val="auto"/>
                <w:w w:val="96"/>
              </w:rPr>
              <w:t>118,600</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11,188</w:t>
            </w:r>
          </w:p>
        </w:tc>
        <w:tc>
          <w:tcPr>
            <w:tcW w:w="9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9.4</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 w:type="dxa"/>
            <w:vAlign w:val="bottom"/>
            <w:shd w:val="clear" w:color="auto" w:fill="E6E6E6"/>
          </w:tcPr>
          <w:p>
            <w:pPr>
              <w:spacing w:after="0"/>
              <w:rPr>
                <w:sz w:val="23"/>
                <w:szCs w:val="23"/>
                <w:color w:val="auto"/>
              </w:rPr>
            </w:pPr>
          </w:p>
        </w:tc>
      </w:tr>
      <w:tr>
        <w:trPr>
          <w:trHeight w:val="271"/>
        </w:trPr>
        <w:tc>
          <w:tcPr>
            <w:tcW w:w="5740" w:type="dxa"/>
            <w:vAlign w:val="bottom"/>
            <w:tcBorders>
              <w:bottom w:val="single" w:sz="8" w:color="E6E6E6"/>
            </w:tcBorders>
            <w:gridSpan w:val="2"/>
          </w:tcPr>
          <w:p>
            <w:pPr>
              <w:ind w:left="60"/>
              <w:spacing w:after="0"/>
              <w:rPr>
                <w:sz w:val="20"/>
                <w:szCs w:val="20"/>
                <w:color w:val="auto"/>
              </w:rPr>
            </w:pPr>
            <w:r>
              <w:rPr>
                <w:rFonts w:ascii="Arial" w:cs="Arial" w:eastAsia="Arial" w:hAnsi="Arial"/>
                <w:sz w:val="20"/>
                <w:szCs w:val="20"/>
                <w:color w:val="auto"/>
              </w:rPr>
              <w:t>Remedial liabilities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96"/>
              </w:rPr>
              <w:t>111,745</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w w:val="96"/>
              </w:rPr>
              <w:t>111,243</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502</w:t>
            </w:r>
          </w:p>
        </w:tc>
        <w:tc>
          <w:tcPr>
            <w:tcW w:w="900" w:type="dxa"/>
            <w:vAlign w:val="bottom"/>
            <w:tcBorders>
              <w:bottom w:val="single" w:sz="8" w:color="E6E6E6"/>
            </w:tcBorders>
            <w:gridSpan w:val="2"/>
          </w:tcPr>
          <w:p>
            <w:pPr>
              <w:jc w:val="right"/>
              <w:spacing w:after="0"/>
              <w:rPr>
                <w:sz w:val="20"/>
                <w:szCs w:val="20"/>
                <w:color w:val="auto"/>
              </w:rPr>
            </w:pPr>
            <w:r>
              <w:rPr>
                <w:rFonts w:ascii="Arial" w:cs="Arial" w:eastAsia="Arial" w:hAnsi="Arial"/>
                <w:sz w:val="20"/>
                <w:szCs w:val="20"/>
                <w:color w:val="auto"/>
              </w:rPr>
              <w:t>0.5</w:t>
            </w:r>
          </w:p>
        </w:tc>
        <w:tc>
          <w:tcPr>
            <w:tcW w:w="2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tcPr>
          <w:p>
            <w:pPr>
              <w:spacing w:after="0"/>
              <w:rPr>
                <w:sz w:val="23"/>
                <w:szCs w:val="23"/>
                <w:color w:val="auto"/>
              </w:rPr>
            </w:pPr>
          </w:p>
        </w:tc>
      </w:tr>
      <w:tr>
        <w:trPr>
          <w:trHeight w:val="280"/>
        </w:trPr>
        <w:tc>
          <w:tcPr>
            <w:tcW w:w="574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20"/>
                <w:szCs w:val="20"/>
                <w:color w:val="auto"/>
              </w:rPr>
              <w:t>Total environmental liabilities</w:t>
            </w: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shd w:val="clear" w:color="auto" w:fill="E6E6E6"/>
          </w:tcPr>
          <w:p>
            <w:pPr>
              <w:ind w:left="80"/>
              <w:spacing w:after="0"/>
              <w:rPr>
                <w:sz w:val="20"/>
                <w:szCs w:val="20"/>
                <w:color w:val="auto"/>
              </w:rPr>
            </w:pPr>
            <w:r>
              <w:rPr>
                <w:rFonts w:ascii="Arial" w:cs="Arial" w:eastAsia="Arial" w:hAnsi="Arial"/>
                <w:sz w:val="20"/>
                <w:szCs w:val="20"/>
                <w:color w:val="auto"/>
                <w:w w:val="96"/>
              </w:rPr>
              <w:t>241,533</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shd w:val="clear" w:color="auto" w:fill="E6E6E6"/>
          </w:tcPr>
          <w:p>
            <w:pPr>
              <w:ind w:left="100"/>
              <w:spacing w:after="0"/>
              <w:rPr>
                <w:sz w:val="20"/>
                <w:szCs w:val="20"/>
                <w:color w:val="auto"/>
              </w:rPr>
            </w:pPr>
            <w:r>
              <w:rPr>
                <w:rFonts w:ascii="Arial" w:cs="Arial" w:eastAsia="Arial" w:hAnsi="Arial"/>
                <w:sz w:val="20"/>
                <w:szCs w:val="20"/>
                <w:color w:val="auto"/>
                <w:w w:val="96"/>
              </w:rPr>
              <w:t>229,843</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11,690</w:t>
            </w:r>
          </w:p>
        </w:tc>
        <w:tc>
          <w:tcPr>
            <w:tcW w:w="90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5.1</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-43180</wp:posOffset>
            </wp:positionV>
            <wp:extent cx="2117725" cy="50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17725" cy="50165"/>
                    </a:xfrm>
                    <a:prstGeom prst="rect">
                      <a:avLst/>
                    </a:prstGeom>
                    <a:noFill/>
                  </pic:spPr>
                </pic:pic>
              </a:graphicData>
            </a:graphic>
          </wp:anchor>
        </w:drawing>
      </w:r>
    </w:p>
    <w:p>
      <w:pPr>
        <w:spacing w:after="0" w:line="145" w:lineRule="exact"/>
        <w:rPr>
          <w:sz w:val="20"/>
          <w:szCs w:val="20"/>
          <w:color w:val="auto"/>
        </w:rPr>
      </w:pPr>
    </w:p>
    <w:p>
      <w:pPr>
        <w:ind w:right="60" w:firstLine="709"/>
        <w:spacing w:after="0" w:line="293" w:lineRule="auto"/>
        <w:rPr>
          <w:sz w:val="20"/>
          <w:szCs w:val="20"/>
          <w:color w:val="auto"/>
        </w:rPr>
      </w:pPr>
      <w:r>
        <w:rPr>
          <w:rFonts w:ascii="Arial" w:cs="Arial" w:eastAsia="Arial" w:hAnsi="Arial"/>
          <w:sz w:val="18"/>
          <w:szCs w:val="18"/>
          <w:color w:val="auto"/>
        </w:rPr>
        <w:t>Total environmental liabilities as of December 31, 2024 were $241.5 million, an increase of $11.7 million compared to December 31, 2023. This increase was primarily due to new environmental liabilities, including those recognized as a result of recent acquisitions of $18.7 million, annual accretion of $13.5 million and an $8.9 million increase in environmental liability estimates. These increases were partially offset by expenditures of $27.5 million made during 2024.</w:t>
      </w:r>
    </w:p>
    <w:p>
      <w:pPr>
        <w:spacing w:after="0" w:line="92" w:lineRule="exact"/>
        <w:rPr>
          <w:sz w:val="20"/>
          <w:szCs w:val="20"/>
          <w:color w:val="auto"/>
        </w:rPr>
      </w:pPr>
    </w:p>
    <w:p>
      <w:pPr>
        <w:ind w:right="120" w:firstLine="709"/>
        <w:spacing w:after="0" w:line="254" w:lineRule="auto"/>
        <w:rPr>
          <w:sz w:val="20"/>
          <w:szCs w:val="20"/>
          <w:color w:val="auto"/>
        </w:rPr>
      </w:pPr>
      <w:r>
        <w:rPr>
          <w:rFonts w:ascii="Arial" w:cs="Arial" w:eastAsia="Arial" w:hAnsi="Arial"/>
          <w:sz w:val="20"/>
          <w:szCs w:val="20"/>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We have included a schedule of our expected payments as of December 31, 2024, in Note 10, “Closure and Post-closure Liabilities" and Note 11, "Remedial Liabilities,” to our consolidated financial statements included in Item 8 of this report.</w:t>
      </w:r>
    </w:p>
    <w:p>
      <w:pPr>
        <w:spacing w:after="0" w:line="123" w:lineRule="exact"/>
        <w:rPr>
          <w:sz w:val="20"/>
          <w:szCs w:val="20"/>
          <w:color w:val="auto"/>
        </w:rPr>
      </w:pPr>
    </w:p>
    <w:p>
      <w:pPr>
        <w:ind w:right="200" w:firstLine="709"/>
        <w:spacing w:after="0" w:line="293" w:lineRule="auto"/>
        <w:rPr>
          <w:sz w:val="20"/>
          <w:szCs w:val="20"/>
          <w:color w:val="auto"/>
        </w:rPr>
      </w:pPr>
      <w:r>
        <w:rPr>
          <w:rFonts w:ascii="Arial" w:cs="Arial" w:eastAsia="Arial" w:hAnsi="Arial"/>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8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Letters of Credit</w:t>
      </w:r>
    </w:p>
    <w:p>
      <w:pPr>
        <w:spacing w:after="0" w:line="167" w:lineRule="exact"/>
        <w:rPr>
          <w:sz w:val="20"/>
          <w:szCs w:val="20"/>
          <w:color w:val="auto"/>
        </w:rPr>
      </w:pPr>
    </w:p>
    <w:p>
      <w:pPr>
        <w:ind w:right="80" w:firstLine="709"/>
        <w:spacing w:after="0" w:line="252" w:lineRule="auto"/>
        <w:rPr>
          <w:sz w:val="20"/>
          <w:szCs w:val="20"/>
          <w:color w:val="auto"/>
        </w:rPr>
      </w:pPr>
      <w:r>
        <w:rPr>
          <w:rFonts w:ascii="Arial" w:cs="Arial" w:eastAsia="Arial" w:hAnsi="Arial"/>
          <w:sz w:val="20"/>
          <w:szCs w:val="20"/>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December 31, 2024, there were $130.0 million of outstanding letters of credit. See Note 12, "Financing Arrangements," to the accompanying financial statements included in Item 8 of this report for further discussion of our standby letters of credit and other financing arrangements.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171" w:lineRule="exact"/>
        <w:rPr>
          <w:sz w:val="20"/>
          <w:szCs w:val="20"/>
          <w:color w:val="auto"/>
        </w:rPr>
      </w:pPr>
    </w:p>
    <w:p>
      <w:pPr>
        <w:ind w:right="100" w:firstLine="709"/>
        <w:spacing w:after="0" w:line="265" w:lineRule="auto"/>
        <w:rPr>
          <w:sz w:val="20"/>
          <w:szCs w:val="20"/>
          <w:color w:val="auto"/>
        </w:rPr>
      </w:pPr>
      <w:r>
        <w:rPr>
          <w:rFonts w:ascii="Arial" w:cs="Arial" w:eastAsia="Arial" w:hAnsi="Arial"/>
          <w:sz w:val="19"/>
          <w:szCs w:val="19"/>
          <w:color w:val="auto"/>
        </w:rPr>
        <w:t>Our consolidated financial statements are based on the application of GAAP, which requires us to make estimates and judgments that affect the reported amounts of our assets, liabilities, revenues and expenses and related disclosures of contingent liabilities. These estimates and judgements cannot be determined with certainty. Actual results could differ from those estimates, and any such differences may be material to our consolidated financial statements. We believe the estimates set forth below may involve a higher degree of judgment and complexity in their application than our other accounting estimates and represent the critical accounting estimates used in the preparation of our consolidated financial statements. Our accounting policies related to these estimates are discussed in Note 2, "Significant Accounting Policies," to our consolidated financial statements included in Item 8 of this report.</w:t>
      </w:r>
    </w:p>
    <w:p>
      <w:pPr>
        <w:spacing w:after="0" w:line="119" w:lineRule="exact"/>
        <w:rPr>
          <w:sz w:val="20"/>
          <w:szCs w:val="20"/>
          <w:color w:val="auto"/>
        </w:rPr>
      </w:pPr>
    </w:p>
    <w:p>
      <w:pPr>
        <w:ind w:right="60" w:firstLine="709"/>
        <w:spacing w:after="0" w:line="256" w:lineRule="auto"/>
        <w:rPr>
          <w:sz w:val="20"/>
          <w:szCs w:val="20"/>
          <w:color w:val="auto"/>
        </w:rPr>
      </w:pPr>
      <w:r>
        <w:rPr>
          <w:rFonts w:ascii="Arial" w:cs="Arial" w:eastAsia="Arial" w:hAnsi="Arial"/>
          <w:sz w:val="20"/>
          <w:szCs w:val="20"/>
          <w:color w:val="auto"/>
        </w:rPr>
        <w:t>We believe our judgments related to these accounting estimates are appropriate. However, if different assumptions or conditions were to prevail, the results could be materially different from the amounts recorded. Our management reviews critical accounting estimates with the Audit Committee of our Board of Directors on an ongoing basis and as needed prior to the release of our annual financial statements.</w:t>
      </w:r>
    </w:p>
    <w:p>
      <w:pPr>
        <w:sectPr>
          <w:pgSz w:w="11880" w:h="15480" w:orient="portrait"/>
          <w:cols w:equalWidth="0" w:num="1">
            <w:col w:w="10160"/>
          </w:cols>
          <w:pgMar w:left="880" w:top="57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41</w:t>
      </w:r>
    </w:p>
    <w:p>
      <w:pPr>
        <w:sectPr>
          <w:pgSz w:w="11880" w:h="15480" w:orient="portrait"/>
          <w:cols w:equalWidth="0" w:num="1">
            <w:col w:w="10160"/>
          </w:cols>
          <w:pgMar w:left="880" w:top="575" w:right="840" w:bottom="0" w:gutter="0" w:footer="0" w:header="0"/>
          <w:type w:val="continuous"/>
        </w:sectPr>
      </w:pPr>
    </w:p>
    <w:bookmarkStart w:id="49" w:name="page50"/>
    <w:bookmarkEnd w:id="49"/>
    <w:p>
      <w:pPr>
        <w:ind w:right="20" w:firstLine="709"/>
        <w:spacing w:after="0" w:line="264" w:lineRule="auto"/>
        <w:rPr>
          <w:sz w:val="20"/>
          <w:szCs w:val="20"/>
          <w:color w:val="auto"/>
        </w:rPr>
      </w:pPr>
      <w:r>
        <w:rPr>
          <w:rFonts w:ascii="Arial" w:cs="Arial" w:eastAsia="Arial" w:hAnsi="Arial"/>
          <w:sz w:val="19"/>
          <w:szCs w:val="19"/>
          <w:b w:val="1"/>
          <w:bCs w:val="1"/>
          <w:i w:val="1"/>
          <w:iCs w:val="1"/>
          <w:color w:val="auto"/>
        </w:rPr>
        <w:t xml:space="preserve">Landfill Accounting. </w:t>
      </w:r>
      <w:r>
        <w:rPr>
          <w:rFonts w:ascii="Arial" w:cs="Arial" w:eastAsia="Arial" w:hAnsi="Arial"/>
          <w:sz w:val="19"/>
          <w:szCs w:val="19"/>
          <w:color w:val="auto"/>
        </w:rPr>
        <w:t>We amortize landfill improvements and certain landfill-related permits over their estimated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useful lives. The units-of-consumption method is used to amortize land, landfill cell construction, asset retirement costs and remaining landfill cells and sites. We also utilize the units-of-consumption method to record closure and post-closure obligations for landfill cells and sites. Under the units-of-consumption method, we include future estimated construction and asset retirement costs, as well as costs incurred to date, in the amortization base of the landfill assets. Additionally, where appropriate, as discussed below, we include probable expansion airspace yet to be permitted in the calculation of the total remaining useful life of the landfill. If we determine that expansion capacity should no longer be considered in calculating the recoverability of a landfill asset, we may be required to recognize an asset impairment or incur significantly higher amortization expense. If at any time we decide to abandon the expansion effort, the capitalized costs related to the expansion effort are expensed immediately.</w:t>
      </w:r>
    </w:p>
    <w:p>
      <w:pPr>
        <w:spacing w:after="0" w:line="118" w:lineRule="exact"/>
        <w:rPr>
          <w:sz w:val="20"/>
          <w:szCs w:val="20"/>
          <w:color w:val="auto"/>
        </w:rPr>
      </w:pPr>
    </w:p>
    <w:p>
      <w:pPr>
        <w:ind w:firstLine="709"/>
        <w:spacing w:after="0" w:line="289" w:lineRule="auto"/>
        <w:rPr>
          <w:sz w:val="20"/>
          <w:szCs w:val="20"/>
          <w:color w:val="auto"/>
        </w:rPr>
      </w:pPr>
      <w:r>
        <w:rPr>
          <w:rFonts w:ascii="Arial" w:cs="Arial" w:eastAsia="Arial" w:hAnsi="Arial"/>
          <w:sz w:val="18"/>
          <w:szCs w:val="18"/>
          <w:b w:val="1"/>
          <w:bCs w:val="1"/>
          <w:i w:val="1"/>
          <w:iCs w:val="1"/>
          <w:color w:val="auto"/>
        </w:rPr>
        <w:t xml:space="preserve">Landfill Assets. </w:t>
      </w:r>
      <w:r>
        <w:rPr>
          <w:rFonts w:ascii="Arial" w:cs="Arial" w:eastAsia="Arial" w:hAnsi="Arial"/>
          <w:sz w:val="18"/>
          <w:szCs w:val="18"/>
          <w:color w:val="auto"/>
        </w:rPr>
        <w:t>Landfill assets include the costs of landfill site acquisition, permits and cell construction incurred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These amounts are amortized under the units-of-consumption method such that the asset is completely amortized when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impact the amortization expense of the landfill assets.</w:t>
      </w:r>
    </w:p>
    <w:p>
      <w:pPr>
        <w:spacing w:after="0" w:line="93" w:lineRule="exact"/>
        <w:rPr>
          <w:sz w:val="20"/>
          <w:szCs w:val="20"/>
          <w:color w:val="auto"/>
        </w:rPr>
      </w:pPr>
    </w:p>
    <w:p>
      <w:pPr>
        <w:ind w:firstLine="709"/>
        <w:spacing w:after="0" w:line="283" w:lineRule="auto"/>
        <w:rPr>
          <w:sz w:val="20"/>
          <w:szCs w:val="20"/>
          <w:color w:val="auto"/>
        </w:rPr>
      </w:pPr>
      <w:r>
        <w:rPr>
          <w:rFonts w:ascii="Arial" w:cs="Arial" w:eastAsia="Arial" w:hAnsi="Arial"/>
          <w:sz w:val="18"/>
          <w:szCs w:val="18"/>
          <w:b w:val="1"/>
          <w:bCs w:val="1"/>
          <w:i w:val="1"/>
          <w:iCs w:val="1"/>
          <w:color w:val="auto"/>
        </w:rPr>
        <w:t xml:space="preserve">Landfill Capacity. </w:t>
      </w:r>
      <w:r>
        <w:rPr>
          <w:rFonts w:ascii="Arial" w:cs="Arial" w:eastAsia="Arial" w:hAnsi="Arial"/>
          <w:sz w:val="18"/>
          <w:szCs w:val="18"/>
          <w:color w:val="auto"/>
        </w:rPr>
        <w:t>Landfill capacity, which is the basis for the amortization of landfill assets and for the accrual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final closure and post-closure obligations, represents total permitted airspace plus unpermitted airspace that management believes is probable of ultimately being permitted based on established criteria. As of December 31, 2024, there were no unpermitted expansions included in management's landfill calculation.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96" w:lineRule="exact"/>
        <w:rPr>
          <w:sz w:val="20"/>
          <w:szCs w:val="20"/>
          <w:color w:val="auto"/>
        </w:rPr>
      </w:pPr>
    </w:p>
    <w:p>
      <w:pPr>
        <w:ind w:right="40" w:firstLine="709"/>
        <w:spacing w:after="0" w:line="314" w:lineRule="auto"/>
        <w:rPr>
          <w:sz w:val="20"/>
          <w:szCs w:val="20"/>
          <w:color w:val="auto"/>
        </w:rPr>
      </w:pPr>
      <w:r>
        <w:rPr>
          <w:rFonts w:ascii="Arial" w:cs="Arial" w:eastAsia="Arial" w:hAnsi="Arial"/>
          <w:sz w:val="16"/>
          <w:szCs w:val="16"/>
          <w:b w:val="1"/>
          <w:bCs w:val="1"/>
          <w:i w:val="1"/>
          <w:iCs w:val="1"/>
          <w:color w:val="auto"/>
        </w:rPr>
        <w:t xml:space="preserve">Landfill Final Closure and Post-Closure Liabilities. </w:t>
      </w:r>
      <w:r>
        <w:rPr>
          <w:rFonts w:ascii="Arial" w:cs="Arial" w:eastAsia="Arial" w:hAnsi="Arial"/>
          <w:sz w:val="16"/>
          <w:szCs w:val="16"/>
          <w:color w:val="auto"/>
        </w:rPr>
        <w:t>Landfill final closure and post-closure liabilities recorded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2024 and 2023 were $59.4 million in both periods. We have material financial commitments for the costs associated with requirements of the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We develop estimates for the cost of these activities based on our evaluation of site-specific facts and circumstances, such as the existence of structures and other landfill improvements that would need to be dismantled, the amount of groundwater monitoring and leachate management expected to be performed and the length of the post-closure period as determined by the applicable regulatory agency. Included in our cost estimates are our interpretation of current regulatory requirements and proposed regulatory changes. These cost estimates may change in the future due to various circumstances including, but not limited to, permit modifications, changes in legislation or regulations, technological changes and results of environmental studies. We perform zero-based reviews of these estimated liabilities based upon a planned schedule, typically every five years or sooner if the occurrence of a significant event is likely to change the timing or amount of the currently estimated expenditures. We consider a significant event to be a new regulation or an amendment to an existing regulation, a new permit or modification to an existing permit or a change in the market price of a significant cost item. Our cost estimates are calculated using internal sources as well as input from third-party experts. These costs are measured at estimated fair value using present value techniques, and therefore changes in the estimated timing of closure and post-closure activities would affect the liability, the value of the related asset and our results of operations.</w:t>
      </w:r>
    </w:p>
    <w:p>
      <w:pPr>
        <w:spacing w:after="0" w:line="328" w:lineRule="exact"/>
        <w:rPr>
          <w:sz w:val="20"/>
          <w:szCs w:val="20"/>
          <w:color w:val="auto"/>
        </w:rPr>
      </w:pPr>
    </w:p>
    <w:p>
      <w:pPr>
        <w:ind w:right="100" w:firstLine="709"/>
        <w:spacing w:after="0" w:line="264" w:lineRule="auto"/>
        <w:rPr>
          <w:sz w:val="20"/>
          <w:szCs w:val="20"/>
          <w:color w:val="auto"/>
        </w:rPr>
      </w:pPr>
      <w:r>
        <w:rPr>
          <w:rFonts w:ascii="Arial" w:cs="Arial" w:eastAsia="Arial" w:hAnsi="Arial"/>
          <w:sz w:val="19"/>
          <w:szCs w:val="19"/>
          <w:color w:val="auto"/>
        </w:rPr>
        <w:t>Final closure costs are the costs incurred after the site ceases to accept waste, but before the landfill is certified as closed by the applicable state or provincial regulatory agency. These costs generally include the costs required for capping the final cell of the landfill (if not included in cell closure), dismantling certain structures for landfills and other landfill improvements and regulation-mandated groundwater monitoring and leachate management. Post-closure costs involve the maintenance and monitoring of a landfill site that has been certified closed by the applicable regulatory agency, generally including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accelerate accrual of these costs.</w:t>
      </w:r>
    </w:p>
    <w:p>
      <w:pPr>
        <w:spacing w:after="0" w:line="111" w:lineRule="exact"/>
        <w:rPr>
          <w:sz w:val="20"/>
          <w:szCs w:val="20"/>
          <w:color w:val="auto"/>
        </w:rPr>
      </w:pPr>
    </w:p>
    <w:p>
      <w:pPr>
        <w:ind w:right="120" w:firstLine="709"/>
        <w:spacing w:after="0" w:line="342" w:lineRule="auto"/>
        <w:rPr>
          <w:sz w:val="20"/>
          <w:szCs w:val="20"/>
          <w:color w:val="auto"/>
        </w:rPr>
      </w:pPr>
      <w:r>
        <w:rPr>
          <w:rFonts w:ascii="Arial" w:cs="Arial" w:eastAsia="Arial" w:hAnsi="Arial"/>
          <w:sz w:val="16"/>
          <w:szCs w:val="16"/>
          <w:b w:val="1"/>
          <w:bCs w:val="1"/>
          <w:i w:val="1"/>
          <w:iCs w:val="1"/>
          <w:color w:val="auto"/>
        </w:rPr>
        <w:t xml:space="preserve">Non-Landfill Closure and Post-Closure Liabilities. </w:t>
      </w:r>
      <w:r>
        <w:rPr>
          <w:rFonts w:ascii="Arial" w:cs="Arial" w:eastAsia="Arial" w:hAnsi="Arial"/>
          <w:sz w:val="16"/>
          <w:szCs w:val="16"/>
          <w:color w:val="auto"/>
        </w:rPr>
        <w:t>Non-landfill closure and post-closure liabilities recorded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2024 and 2023 were $70.4 million and $59.2 million, respectively. We base estimates for non-landfill closure and post-closure liabilities on our interpretations of existing permit and regulatory requirements for closure and post-closure maintenance and monitoring. Our cost estimates are calculated using internal sources as well as input from third-party experts.</w:t>
      </w:r>
    </w:p>
    <w:p>
      <w:pPr>
        <w:sectPr>
          <w:pgSz w:w="11880" w:h="15480" w:orient="portrait"/>
          <w:cols w:equalWidth="0" w:num="1">
            <w:col w:w="10100"/>
          </w:cols>
          <w:pgMar w:left="880" w:top="572" w:right="90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880" w:h="15480" w:orient="portrait"/>
          <w:cols w:equalWidth="0" w:num="1">
            <w:col w:w="10100"/>
          </w:cols>
          <w:pgMar w:left="880" w:top="572" w:right="900" w:bottom="0" w:gutter="0" w:footer="0" w:header="0"/>
          <w:type w:val="continuous"/>
        </w:sectPr>
      </w:pPr>
    </w:p>
    <w:bookmarkStart w:id="50" w:name="page51"/>
    <w:bookmarkEnd w:id="50"/>
    <w:p>
      <w:pPr>
        <w:spacing w:after="0" w:line="278" w:lineRule="auto"/>
        <w:rPr>
          <w:sz w:val="20"/>
          <w:szCs w:val="20"/>
          <w:color w:val="auto"/>
        </w:rPr>
      </w:pPr>
      <w:r>
        <w:rPr>
          <w:rFonts w:ascii="Arial" w:cs="Arial" w:eastAsia="Arial" w:hAnsi="Arial"/>
          <w:sz w:val="18"/>
          <w:szCs w:val="18"/>
          <w:color w:val="auto"/>
        </w:rPr>
        <w:t>We estimate when future operations will cease and inflate the current cost of closing the non-landfill facility using the appropriate inflation rate and then discounting the future value to arrive at an estimated present value of closure and post-closure costs. The estimates for non-landfill closure and post-closure liabilities are inherently uncertain due to the possibility that permit and regulatory requirements will change in the future, impacting the estimation of total costs and the timing of the expenditures. We review non-landfill closure and post-closure liabilities for changes to key assumptions that would impact the amount of the recorded liabilities. Changes that would prompt us to revise a liability estimate include changes in legal requirements that impact our expected closure plan or scope of work, in the market price of a significant cost item, in estimates as to when future operations may cease or in the expected timing of the cost expenditures. Changes in estimates for non-landfill closure and post-closure events immediately impact the required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Changes to non-landfill closure and post-closure estimates have not been material. See Note 10, "Closure and Post-Closure Liabilities," to our consolidated financial statements included in Item 8 of this report for the changes to these Landfill and Non-Landfill Closure and Post-Closure liabilities during the years ended December 31, 2024 and 2023.</w:t>
      </w:r>
    </w:p>
    <w:p>
      <w:pPr>
        <w:spacing w:after="0" w:line="108" w:lineRule="exact"/>
        <w:rPr>
          <w:sz w:val="20"/>
          <w:szCs w:val="20"/>
          <w:color w:val="auto"/>
        </w:rPr>
      </w:pPr>
    </w:p>
    <w:p>
      <w:pPr>
        <w:ind w:right="60" w:firstLine="709"/>
        <w:spacing w:after="0" w:line="279" w:lineRule="auto"/>
        <w:rPr>
          <w:sz w:val="20"/>
          <w:szCs w:val="20"/>
          <w:color w:val="auto"/>
        </w:rPr>
      </w:pPr>
      <w:r>
        <w:rPr>
          <w:rFonts w:ascii="Arial" w:cs="Arial" w:eastAsia="Arial" w:hAnsi="Arial"/>
          <w:sz w:val="18"/>
          <w:szCs w:val="18"/>
          <w:b w:val="1"/>
          <w:bCs w:val="1"/>
          <w:i w:val="1"/>
          <w:iCs w:val="1"/>
          <w:color w:val="auto"/>
        </w:rPr>
        <w:t xml:space="preserve">Remedial Liabilities. </w:t>
      </w:r>
      <w:r>
        <w:rPr>
          <w:rFonts w:ascii="Arial" w:cs="Arial" w:eastAsia="Arial" w:hAnsi="Arial"/>
          <w:sz w:val="18"/>
          <w:szCs w:val="18"/>
          <w:color w:val="auto"/>
        </w:rPr>
        <w:t>Remedial liabilities recorded at December 31, 2024 and 2023 were $111.7 million and $111.2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Remedial liabilities are obligations to investigate, alleviate and/or eliminate the effects of a release (or threat of a release) of hazardous substances into the environment and may also include corrective action under RCRA or the corresponding Canadian regulations. Our remediation obligations can be further characterized as legal, Superfund, long-term maintenance and one-time projects. Legal liabilities are typically comprised of litigation matters that involve potential liability for certain aspects of environmental cleanup and can include third-party claims for property damage or bodily injury allegedly arising from or caused by exposure to hazardous substances originating from our activities or operations or, in certain cases, from the action or inaction of other persons or companies. Superfund liabilities are typically claims alleging that we are a potentially responsible party ("PRP") and/or are potentially liable for environmental response, removal, remediation and cleanup costs at/or from either a facility we own or a site owned by a third-party. Long-term maintenance liabilities include the costs of groundwater monitoring, treatment system operations, permit fees and facility maintenance for inactive operations. One-time projects liabilities include the costs necessary to comply with regulatory requirements for the removal or treatment of contaminated materials.</w:t>
      </w:r>
    </w:p>
    <w:p>
      <w:pPr>
        <w:spacing w:after="0" w:line="106" w:lineRule="exact"/>
        <w:rPr>
          <w:sz w:val="20"/>
          <w:szCs w:val="20"/>
          <w:color w:val="auto"/>
        </w:rPr>
      </w:pPr>
    </w:p>
    <w:p>
      <w:pPr>
        <w:ind w:right="40" w:firstLine="709"/>
        <w:spacing w:after="0" w:line="278" w:lineRule="auto"/>
        <w:rPr>
          <w:sz w:val="20"/>
          <w:szCs w:val="20"/>
          <w:color w:val="auto"/>
        </w:rPr>
      </w:pPr>
      <w:r>
        <w:rPr>
          <w:rFonts w:ascii="Arial" w:cs="Arial" w:eastAsia="Arial" w:hAnsi="Arial"/>
          <w:sz w:val="18"/>
          <w:szCs w:val="18"/>
          <w:color w:val="auto"/>
        </w:rPr>
        <w:t>Amounts recorded related to the costs required to remediate a location are determined by internal engineers and operational personnel and incorporate input from external third parties. The estimates consider such factors as the nature and extent of environmental contamination (if any); the terms of applicable permits and agreements with regulatory authorities as to cleanup procedures and whether modifications to such permits and agreements will likely need to be negotiated; the cost of performing anticipated cleanup activities based upon current technology; and in the case of Superfund and other sites where other parties will also be responsible for a portion of the cleanup costs, the likely allocation of such costs and the ability of such other parties to pay their share. Each quarter, our management discusses if any events have occurred or milestones have been met that would warrant the creation of a new remedial liability or the revision of an existing remedial liability. Such events or milestones include identification and verification as a PRP, receipt of a unilateral administrative order under Superfund or requirement for RCRA interim corrective measures, completion of the feasibility study under Superfund or the corrective measures study under RCRA, new or modifications to existing permits, changes in property use or a change in the market price of a significant cost item. Remedial liabilities are inherently difficult to estimate and there is a risk that the actual quantities of contaminants could differ from the results of the site investigation, which could materially impact the amount of our liability. It is also possible that chosen methods of remedial solutions will not be successful and funds will be required for alternative solutions.</w:t>
      </w:r>
    </w:p>
    <w:p>
      <w:pPr>
        <w:spacing w:after="0" w:line="107" w:lineRule="exact"/>
        <w:rPr>
          <w:sz w:val="20"/>
          <w:szCs w:val="20"/>
          <w:color w:val="auto"/>
        </w:rPr>
      </w:pPr>
    </w:p>
    <w:p>
      <w:pPr>
        <w:ind w:firstLine="709"/>
        <w:spacing w:after="0" w:line="405" w:lineRule="auto"/>
        <w:rPr>
          <w:sz w:val="20"/>
          <w:szCs w:val="20"/>
          <w:color w:val="auto"/>
        </w:rPr>
      </w:pPr>
      <w:r>
        <w:rPr>
          <w:rFonts w:ascii="Arial" w:cs="Arial" w:eastAsia="Arial" w:hAnsi="Arial"/>
          <w:sz w:val="16"/>
          <w:szCs w:val="16"/>
          <w:color w:val="auto"/>
        </w:rPr>
        <w:t>Remedial liabilities are discounted when the timing of the payments is estimable and the amounts are determinable, with the exception of remedial liabilities assumed as part of an acquisition that are measured at fair value at the acquisition date.</w:t>
      </w:r>
    </w:p>
    <w:p>
      <w:pPr>
        <w:spacing w:after="0" w:line="9" w:lineRule="exact"/>
        <w:rPr>
          <w:sz w:val="20"/>
          <w:szCs w:val="20"/>
          <w:color w:val="auto"/>
        </w:rPr>
      </w:pPr>
    </w:p>
    <w:p>
      <w:pPr>
        <w:ind w:right="60" w:firstLine="709"/>
        <w:spacing w:after="0" w:line="320" w:lineRule="auto"/>
        <w:rPr>
          <w:sz w:val="20"/>
          <w:szCs w:val="20"/>
          <w:color w:val="auto"/>
        </w:rPr>
      </w:pPr>
      <w:r>
        <w:rPr>
          <w:rFonts w:ascii="Arial" w:cs="Arial" w:eastAsia="Arial" w:hAnsi="Arial"/>
          <w:sz w:val="16"/>
          <w:szCs w:val="16"/>
          <w:color w:val="auto"/>
        </w:rPr>
        <w:t>We establish reserves for estimated environmental liabilities based on acceptable technologies when we determine the liability is appropriate. Introductions of new technologies are subject to successful demonstration of the effectiveness of the alternative technology and regulatory approval. We routinely review and evaluate the sites for which we have established estimated environmental liabilities reserves to determine if there should be changes in the established reserves. The changes in estimates are reflected as adjustments in the ordinary course of business in the period when we determine that an adjustment is appropriate as new information becomes available. Upon demonstration of the effectiveness of the alternative technology and applicable regulatory approval, we update our estimated cost of remediating the affected sites. Changes in our estimates for remedial liabilities have not been material. See Note 11, "Remedial Liabilities," to our consolidated financial statements included in Item 8 of this report for the changes to the remedial liabilities during the years ended December 31, 2024 and 2023.</w:t>
      </w:r>
    </w:p>
    <w:p>
      <w:pPr>
        <w:spacing w:after="0" w:line="74" w:lineRule="exact"/>
        <w:rPr>
          <w:sz w:val="20"/>
          <w:szCs w:val="20"/>
          <w:color w:val="auto"/>
        </w:rPr>
      </w:pPr>
    </w:p>
    <w:p>
      <w:pPr>
        <w:ind w:firstLine="709"/>
        <w:spacing w:after="0" w:line="409" w:lineRule="auto"/>
        <w:rPr>
          <w:sz w:val="20"/>
          <w:szCs w:val="20"/>
          <w:color w:val="auto"/>
        </w:rPr>
      </w:pPr>
      <w:r>
        <w:rPr>
          <w:rFonts w:ascii="Arial" w:cs="Arial" w:eastAsia="Arial" w:hAnsi="Arial"/>
          <w:sz w:val="16"/>
          <w:szCs w:val="16"/>
          <w:b w:val="1"/>
          <w:bCs w:val="1"/>
          <w:i w:val="1"/>
          <w:iCs w:val="1"/>
          <w:color w:val="auto"/>
        </w:rPr>
        <w:t xml:space="preserve">Acquisitions. </w:t>
      </w:r>
      <w:r>
        <w:rPr>
          <w:rFonts w:ascii="Arial" w:cs="Arial" w:eastAsia="Arial" w:hAnsi="Arial"/>
          <w:sz w:val="16"/>
          <w:szCs w:val="16"/>
          <w:color w:val="auto"/>
        </w:rPr>
        <w:t>In accordance with the acquisition method of accounting, the purchase price paid for an acquisition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allocated to the assets and liabilities acquired based upon their estimated fair values as of the acquisition date, with the excess of</w:t>
      </w:r>
    </w:p>
    <w:p>
      <w:pPr>
        <w:sectPr>
          <w:pgSz w:w="11880" w:h="15480" w:orient="portrait"/>
          <w:cols w:equalWidth="0" w:num="1">
            <w:col w:w="10100"/>
          </w:cols>
          <w:pgMar w:left="880" w:top="575" w:right="900" w:bottom="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880" w:h="15480" w:orient="portrait"/>
          <w:cols w:equalWidth="0" w:num="1">
            <w:col w:w="10100"/>
          </w:cols>
          <w:pgMar w:left="880" w:top="575" w:right="900" w:bottom="0" w:gutter="0" w:footer="0" w:header="0"/>
          <w:type w:val="continuous"/>
        </w:sectPr>
      </w:pPr>
    </w:p>
    <w:bookmarkStart w:id="51" w:name="page52"/>
    <w:bookmarkEnd w:id="51"/>
    <w:p>
      <w:pPr>
        <w:spacing w:after="0" w:line="316" w:lineRule="auto"/>
        <w:rPr>
          <w:sz w:val="20"/>
          <w:szCs w:val="20"/>
          <w:color w:val="auto"/>
        </w:rPr>
      </w:pPr>
      <w:r>
        <w:rPr>
          <w:rFonts w:ascii="Arial" w:cs="Arial" w:eastAsia="Arial" w:hAnsi="Arial"/>
          <w:sz w:val="16"/>
          <w:szCs w:val="16"/>
          <w:color w:val="auto"/>
        </w:rPr>
        <w:t>the purchase price over the net assets acquired recorded as goodwill. Intangible assets acquired in a business combination may consist of patents, trademarks and trade names, developed technology, customer relationships and other intangibles. The fair value for acquired customer relationship intangibles is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revenue from these customers, less a contributory assets charge, all of which is discounted to present value. The fair value of the trademark and trade name intangible assets as well as the developed technology intangible assets are determined utilizing the relief from royalty method which is a form of the income approach. Under this method, a royalty rate based on observed market royalties is applied to projected revenue supporting the trade name or technology and discounted to present value using an appropriate discount rate. Tangible assets acquired in a business combination include real estate and personal property. When determining the fair value of tangible personal property acquired, we must estimate the cost to replace the asset with a new asset taking into consideration such factors as age, condition and the economic useful life of the asset. Valuations are performed by management or third-party valuation specialists under management's supervision, where appropriate.</w:t>
      </w:r>
    </w:p>
    <w:p>
      <w:pPr>
        <w:spacing w:after="0" w:line="321" w:lineRule="exact"/>
        <w:rPr>
          <w:sz w:val="20"/>
          <w:szCs w:val="20"/>
          <w:color w:val="auto"/>
        </w:rPr>
      </w:pPr>
    </w:p>
    <w:p>
      <w:pPr>
        <w:ind w:right="760" w:firstLine="709"/>
        <w:spacing w:after="0" w:line="263" w:lineRule="auto"/>
        <w:rPr>
          <w:sz w:val="20"/>
          <w:szCs w:val="20"/>
          <w:color w:val="auto"/>
        </w:rPr>
      </w:pPr>
      <w:r>
        <w:rPr>
          <w:rFonts w:ascii="Arial" w:cs="Arial" w:eastAsia="Arial" w:hAnsi="Arial"/>
          <w:sz w:val="20"/>
          <w:szCs w:val="20"/>
          <w:b w:val="1"/>
          <w:bCs w:val="1"/>
          <w:i w:val="1"/>
          <w:iCs w:val="1"/>
          <w:color w:val="auto"/>
        </w:rPr>
        <w:t xml:space="preserve">Goodwill and Other Long-Lived Assets. </w:t>
      </w:r>
      <w:r>
        <w:rPr>
          <w:rFonts w:ascii="Arial" w:cs="Arial" w:eastAsia="Arial" w:hAnsi="Arial"/>
          <w:sz w:val="20"/>
          <w:szCs w:val="20"/>
          <w:color w:val="auto"/>
        </w:rPr>
        <w:t>We have a significant amount of goodwill associated with previous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acquisitions. We conducted our annual impairment test of goodwill as of December 31, 2024 in which we assessed the recoverability of the goodwill associated with our reporting units.</w:t>
      </w:r>
    </w:p>
    <w:p>
      <w:pPr>
        <w:spacing w:after="0" w:line="114" w:lineRule="exact"/>
        <w:rPr>
          <w:sz w:val="20"/>
          <w:szCs w:val="20"/>
          <w:color w:val="auto"/>
        </w:rPr>
      </w:pPr>
    </w:p>
    <w:p>
      <w:pPr>
        <w:ind w:right="20" w:firstLine="709"/>
        <w:spacing w:after="0" w:line="281" w:lineRule="auto"/>
        <w:rPr>
          <w:sz w:val="20"/>
          <w:szCs w:val="20"/>
          <w:color w:val="auto"/>
        </w:rPr>
      </w:pPr>
      <w:r>
        <w:rPr>
          <w:rFonts w:ascii="Arial" w:cs="Arial" w:eastAsia="Arial" w:hAnsi="Arial"/>
          <w:sz w:val="18"/>
          <w:szCs w:val="18"/>
          <w:color w:val="auto"/>
        </w:rPr>
        <w:t>For each reporting unit, we compared the reporting unit's fair value to its respective carrying value and determined that no adjustments to the carrying value of goodwill were necessary. In all cases, the estimated fair value of each reporting unit significantly exceeded its carrying value. We measure fair value for all of our reporting units using an income approach (a discounted cash flow analysis) which incorporates several estimates and assumptions with varying degrees of uncertainty, including estimated revenue growth and operational performance. Such assumptions are subject to variability from year to year and are directly impacted by, among other things, macroeconomic conditions. The discounted cash flow analyses include estimated cash flows for a discrete period and for a terminal period thereafter. We corroborate our estimates of fair values by also considering other factors such as the fair value of comparable companies to businesses contained in our reporting units, as well as performing a reconciliation of the total estimated fair value of all reporting units to our market capitalization.</w:t>
      </w:r>
    </w:p>
    <w:p>
      <w:pPr>
        <w:spacing w:after="0" w:line="104" w:lineRule="exact"/>
        <w:rPr>
          <w:sz w:val="20"/>
          <w:szCs w:val="20"/>
          <w:color w:val="auto"/>
        </w:rPr>
      </w:pPr>
    </w:p>
    <w:p>
      <w:pPr>
        <w:ind w:right="20" w:firstLine="709"/>
        <w:spacing w:after="0" w:line="265" w:lineRule="auto"/>
        <w:rPr>
          <w:sz w:val="20"/>
          <w:szCs w:val="20"/>
          <w:color w:val="auto"/>
        </w:rPr>
      </w:pPr>
      <w:r>
        <w:rPr>
          <w:rFonts w:ascii="Arial" w:cs="Arial" w:eastAsia="Arial" w:hAnsi="Arial"/>
          <w:sz w:val="19"/>
          <w:szCs w:val="19"/>
          <w:color w:val="auto"/>
        </w:rPr>
        <w:t>Indefinite-lived intangible assets are not amortized but are reviewed for impairment annually as of December 31, or when events or changes in the business environment indicate that the carrying value may be impaired. This review is performed by comparing the fair value of an indefinite lived intangible asset to its carrying value. We measure fair value for our indefinite lived intangible assets using an income approach (a discounted cash flow analysis) which incorporates several estimates and assumptions with varying degrees of uncertainty, including estimates of future cash flows associated with the intangible assets. If the fair value is less than the carrying value, the impairment loss is measured as the excess of the carrying value of the asset over its fair value. The estimated fair values of our indefinite-lived intangibles exceeded their carrying values at December 31, 2024.</w:t>
      </w:r>
    </w:p>
    <w:p>
      <w:pPr>
        <w:spacing w:after="0" w:line="119" w:lineRule="exact"/>
        <w:rPr>
          <w:sz w:val="20"/>
          <w:szCs w:val="20"/>
          <w:color w:val="auto"/>
        </w:rPr>
      </w:pPr>
    </w:p>
    <w:p>
      <w:pPr>
        <w:ind w:right="60" w:firstLine="709"/>
        <w:spacing w:after="0" w:line="323" w:lineRule="auto"/>
        <w:rPr>
          <w:sz w:val="20"/>
          <w:szCs w:val="20"/>
          <w:color w:val="auto"/>
        </w:rPr>
      </w:pPr>
      <w:r>
        <w:rPr>
          <w:rFonts w:ascii="Arial" w:cs="Arial" w:eastAsia="Arial" w:hAnsi="Arial"/>
          <w:sz w:val="16"/>
          <w:szCs w:val="16"/>
          <w:color w:val="auto"/>
        </w:rPr>
        <w:t>Our long-lived assets are carried on our financial statements based on their cost less accumulated depreciation or amortization. Long-lived assets with finite lives are reviewed for impairment whenever events or changes in circumstances indicate that their carrying value may not be entirely recoverable. When such factors and circumstances exist, our management compares the estimated undiscounted future cash flows associated with the related asset or group of assets to the respective carrying amounts. The cash flows used in this analysis include assumptions and estimates with varying degrees of uncertainty, including estimated revenue growth and operational performance. An impairment loss, if any, would be measured as the excess of the carrying amount over the fair value of the asset and recorded in the period in which the determination is made. Any resulting impairment losses recorded by us would have an adverse impact on our results of operations.</w:t>
      </w:r>
    </w:p>
    <w:p>
      <w:pPr>
        <w:spacing w:after="0" w:line="316" w:lineRule="exact"/>
        <w:rPr>
          <w:sz w:val="20"/>
          <w:szCs w:val="20"/>
          <w:color w:val="auto"/>
        </w:rPr>
      </w:pPr>
    </w:p>
    <w:p>
      <w:pPr>
        <w:ind w:right="100" w:firstLine="709"/>
        <w:spacing w:after="0" w:line="266" w:lineRule="auto"/>
        <w:rPr>
          <w:sz w:val="20"/>
          <w:szCs w:val="20"/>
          <w:color w:val="auto"/>
        </w:rPr>
      </w:pPr>
      <w:r>
        <w:rPr>
          <w:rFonts w:ascii="Arial" w:cs="Arial" w:eastAsia="Arial" w:hAnsi="Arial"/>
          <w:sz w:val="19"/>
          <w:szCs w:val="19"/>
          <w:color w:val="auto"/>
        </w:rPr>
        <w:t>Our future cash flow assumptions and conclusions with respect to goodwill and asset impairments could be impacted by changes arising from (i) a sustained period of economic and industrial slowdowns, (ii) continued reduced demand for base and blended oil products and an inability to price our oil related products and services to maintain profitability, (iii) inability to scale our operations and implement cost reduction efforts in light of reduced demand or (iv) a significant decline in our share price for a sustained period of time. These factors, among others, could significantly impact the impairment analysis and may result in future goodwill or asset impairment charges that, if incurred, could have a material adverse effect on our financial condition and results of operations.</w:t>
      </w:r>
    </w:p>
    <w:p>
      <w:pPr>
        <w:spacing w:after="0" w:line="114" w:lineRule="exact"/>
        <w:rPr>
          <w:sz w:val="20"/>
          <w:szCs w:val="20"/>
          <w:color w:val="auto"/>
        </w:rPr>
      </w:pPr>
    </w:p>
    <w:p>
      <w:pPr>
        <w:ind w:right="100" w:firstLine="709"/>
        <w:spacing w:after="0" w:line="325" w:lineRule="auto"/>
        <w:rPr>
          <w:sz w:val="20"/>
          <w:szCs w:val="20"/>
          <w:color w:val="auto"/>
        </w:rPr>
      </w:pPr>
      <w:r>
        <w:rPr>
          <w:rFonts w:ascii="Arial" w:cs="Arial" w:eastAsia="Arial" w:hAnsi="Arial"/>
          <w:sz w:val="16"/>
          <w:szCs w:val="16"/>
          <w:b w:val="1"/>
          <w:bCs w:val="1"/>
          <w:i w:val="1"/>
          <w:iCs w:val="1"/>
          <w:color w:val="auto"/>
        </w:rPr>
        <w:t xml:space="preserve">Legal Matters. </w:t>
      </w:r>
      <w:r>
        <w:rPr>
          <w:rFonts w:ascii="Arial" w:cs="Arial" w:eastAsia="Arial" w:hAnsi="Arial"/>
          <w:sz w:val="16"/>
          <w:szCs w:val="16"/>
          <w:color w:val="auto"/>
        </w:rPr>
        <w:t>As described in Note 18, "Commitments and Contingencies," to our consolidated financial statements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Item 8 of this report, we are subject to legal proceedings which relate to our past acquisitions or which have arisen in the ordinary course of business. We accrue for liabilities associated with these matters when it is probable that a liability has been incurred and the amount can be reasonably estimated. The most likely cost to be incurred is accrued based on an evaluation of then currently available facts with respect to each matter. When no amount within a range of estimates is more likely, the minimum is accrued. As of December 31, 2024, we had reserves of $29.8 million consisting of (i) $23.3 million related to pending legal or administrative proceedings, including Superfund liabilities, which were included in remedial</w:t>
      </w:r>
    </w:p>
    <w:p>
      <w:pPr>
        <w:sectPr>
          <w:pgSz w:w="11880" w:h="15480" w:orient="portrait"/>
          <w:cols w:equalWidth="0" w:num="1">
            <w:col w:w="10100"/>
          </w:cols>
          <w:pgMar w:left="880" w:top="575" w:right="900" w:bottom="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880" w:h="15480" w:orient="portrait"/>
          <w:cols w:equalWidth="0" w:num="1">
            <w:col w:w="10100"/>
          </w:cols>
          <w:pgMar w:left="880" w:top="575" w:right="900" w:bottom="0" w:gutter="0" w:footer="0" w:header="0"/>
          <w:type w:val="continuous"/>
        </w:sectPr>
      </w:pPr>
    </w:p>
    <w:bookmarkStart w:id="52" w:name="page53"/>
    <w:bookmarkEnd w:id="52"/>
    <w:p>
      <w:pPr>
        <w:spacing w:after="0" w:line="252" w:lineRule="auto"/>
        <w:rPr>
          <w:sz w:val="20"/>
          <w:szCs w:val="20"/>
          <w:color w:val="auto"/>
        </w:rPr>
      </w:pPr>
      <w:r>
        <w:rPr>
          <w:rFonts w:ascii="Arial" w:cs="Arial" w:eastAsia="Arial" w:hAnsi="Arial"/>
          <w:sz w:val="20"/>
          <w:szCs w:val="20"/>
          <w:color w:val="auto"/>
        </w:rPr>
        <w:t>liabilities on the consolidated balance sheets and (ii) $6.5 million related to federal, state and provincial enforcement actions as well as legal claims, which were included in accrued expenses on the consolidated balance sheets. The inherent uncertainty related to the outcome of these matters can result in amounts materially different from any provisions made with respect to their resolution. In management's opinion, it is not reasonably possible that the potential liability in excess of what is recorded, if any, that may result from these actions, either individually or collectively, will have a material effect on our financial position, results of operations or cash flows.</w:t>
      </w:r>
    </w:p>
    <w:p>
      <w:pPr>
        <w:sectPr>
          <w:pgSz w:w="11880" w:h="15480" w:orient="portrait"/>
          <w:cols w:equalWidth="0" w:num="1">
            <w:col w:w="10080"/>
          </w:cols>
          <w:pgMar w:left="88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880" w:h="15480" w:orient="portrait"/>
          <w:cols w:equalWidth="0" w:num="1">
            <w:col w:w="10080"/>
          </w:cols>
          <w:pgMar w:left="880" w:top="575" w:right="920" w:bottom="0" w:gutter="0" w:footer="0" w:header="0"/>
          <w:type w:val="continuous"/>
        </w:sectPr>
      </w:pPr>
    </w:p>
    <w:bookmarkStart w:id="53" w:name="page54"/>
    <w:bookmarkEnd w:id="53"/>
    <w:p>
      <w:pPr>
        <w:spacing w:after="0"/>
        <w:tabs>
          <w:tab w:leader="none" w:pos="1040" w:val="left"/>
        </w:tabs>
        <w:rPr>
          <w:sz w:val="20"/>
          <w:szCs w:val="20"/>
          <w:color w:val="auto"/>
        </w:rPr>
      </w:pPr>
      <w:r>
        <w:rPr>
          <w:rFonts w:ascii="Arial" w:cs="Arial" w:eastAsia="Arial" w:hAnsi="Arial"/>
          <w:sz w:val="20"/>
          <w:szCs w:val="20"/>
          <w:b w:val="1"/>
          <w:bCs w:val="1"/>
          <w:color w:val="auto"/>
        </w:rPr>
        <w:t>ITEM 7A.</w:t>
        <w:tab/>
        <w:t>QUANTITATIVE AND QUALITATIVE DISCLOSURES ABOUT MARKET RISK</w:t>
      </w:r>
    </w:p>
    <w:p>
      <w:pPr>
        <w:spacing w:after="0" w:line="171" w:lineRule="exact"/>
        <w:rPr>
          <w:sz w:val="20"/>
          <w:szCs w:val="20"/>
          <w:color w:val="auto"/>
        </w:rPr>
      </w:pPr>
    </w:p>
    <w:p>
      <w:pPr>
        <w:ind w:firstLine="709"/>
        <w:spacing w:after="0" w:line="276" w:lineRule="auto"/>
        <w:rPr>
          <w:sz w:val="20"/>
          <w:szCs w:val="20"/>
          <w:color w:val="auto"/>
        </w:rPr>
      </w:pPr>
      <w:r>
        <w:rPr>
          <w:rFonts w:ascii="Arial" w:cs="Arial" w:eastAsia="Arial" w:hAnsi="Arial"/>
          <w:sz w:val="20"/>
          <w:szCs w:val="20"/>
          <w:color w:val="auto"/>
        </w:rPr>
        <w:t>In the normal course of business, we are exposed to market risks, including changes in interest rates and certain foreign currency rates, primarily relating to the Canadian dollar.</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71" w:lineRule="exact"/>
        <w:rPr>
          <w:sz w:val="20"/>
          <w:szCs w:val="20"/>
          <w:color w:val="auto"/>
        </w:rPr>
      </w:pPr>
    </w:p>
    <w:p>
      <w:pPr>
        <w:ind w:right="120" w:firstLine="709"/>
        <w:spacing w:after="0" w:line="274" w:lineRule="auto"/>
        <w:rPr>
          <w:sz w:val="20"/>
          <w:szCs w:val="20"/>
          <w:color w:val="auto"/>
        </w:rPr>
      </w:pPr>
      <w:r>
        <w:rPr>
          <w:rFonts w:ascii="Arial" w:cs="Arial" w:eastAsia="Arial" w:hAnsi="Arial"/>
          <w:sz w:val="19"/>
          <w:szCs w:val="19"/>
          <w:color w:val="auto"/>
        </w:rPr>
        <w:t>Our philosophy in managing interest rate risk is to maintain a debt portfolio inclusive of both variable and fixed-rate debt so as to limit our exposure to interest rate volatility. As of December 31, 2024, before taking into account any interest rate swap agreements then in place, we held $1,464.9 million of variable rate debt under our secured senior term loans due in 2028 ("2028 Term Loans") which bear interest at the Term SOFR rate plus a margin of 1.75%.</w:t>
      </w:r>
    </w:p>
    <w:p>
      <w:pPr>
        <w:spacing w:after="0" w:line="105" w:lineRule="exact"/>
        <w:rPr>
          <w:sz w:val="20"/>
          <w:szCs w:val="20"/>
          <w:color w:val="auto"/>
        </w:rPr>
      </w:pPr>
    </w:p>
    <w:p>
      <w:pPr>
        <w:ind w:right="200" w:firstLine="709"/>
        <w:spacing w:after="0" w:line="284" w:lineRule="auto"/>
        <w:rPr>
          <w:sz w:val="20"/>
          <w:szCs w:val="20"/>
          <w:color w:val="auto"/>
        </w:rPr>
      </w:pPr>
      <w:r>
        <w:rPr>
          <w:rFonts w:ascii="Arial" w:cs="Arial" w:eastAsia="Arial" w:hAnsi="Arial"/>
          <w:sz w:val="18"/>
          <w:szCs w:val="18"/>
          <w:color w:val="auto"/>
        </w:rPr>
        <w:t>To hedge interest rate exposure on a portion of this outstanding variable debt, we entered into interest rate swap agreements. Under the terms of the interest rate swaps entered into in 2022 ("2022 Swaps"), which hedge the interest rate exposure on the 2028 Term Loans, as of December 31, 2024, we would receive interest based on the one-month Term SOFR index and we would pay interest at the fixed rate of 1.965% on a notional amount of $600.0 million. When combined with the 1.75% interest rate margin for Term SOFR borrowings under the 2028 Term Loans, the effective annual interest rate on such $600.0 million aggregate principal amount of the 2028 Term Loans was approximately 3.71%. The remaining balance of the 2028 Term Loans subject to interest rate risk as of December 31, 2024 was $864.9 million.</w:t>
      </w:r>
    </w:p>
    <w:p>
      <w:pPr>
        <w:spacing w:after="0" w:line="98" w:lineRule="exact"/>
        <w:rPr>
          <w:sz w:val="20"/>
          <w:szCs w:val="20"/>
          <w:color w:val="auto"/>
        </w:rPr>
      </w:pPr>
    </w:p>
    <w:p>
      <w:pPr>
        <w:ind w:right="160" w:firstLine="709"/>
        <w:spacing w:after="0" w:line="340" w:lineRule="auto"/>
        <w:rPr>
          <w:sz w:val="20"/>
          <w:szCs w:val="20"/>
          <w:color w:val="auto"/>
        </w:rPr>
      </w:pPr>
      <w:r>
        <w:rPr>
          <w:rFonts w:ascii="Arial" w:cs="Arial" w:eastAsia="Arial" w:hAnsi="Arial"/>
          <w:sz w:val="16"/>
          <w:szCs w:val="16"/>
          <w:color w:val="auto"/>
        </w:rPr>
        <w:t>We designated our interest rate swap instruments as effective cash flow hedges at inception, and therefore the change in fair value is recorded in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The following table provides information regarding our total borrowings at December 31, 2024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20" w:type="dxa"/>
            <w:vAlign w:val="bottom"/>
          </w:tcPr>
          <w:p>
            <w:pPr>
              <w:ind w:left="60"/>
              <w:spacing w:after="0"/>
              <w:rPr>
                <w:sz w:val="20"/>
                <w:szCs w:val="20"/>
                <w:color w:val="auto"/>
              </w:rPr>
            </w:pPr>
            <w:r>
              <w:rPr>
                <w:rFonts w:ascii="Arial" w:cs="Arial" w:eastAsia="Arial" w:hAnsi="Arial"/>
                <w:sz w:val="18"/>
                <w:szCs w:val="18"/>
                <w:b w:val="1"/>
                <w:bCs w:val="1"/>
                <w:color w:val="auto"/>
              </w:rPr>
              <w:t>Scheduled Maturity Dates</w:t>
            </w:r>
          </w:p>
        </w:tc>
        <w:tc>
          <w:tcPr>
            <w:tcW w:w="220" w:type="dxa"/>
            <w:vAlign w:val="bottom"/>
          </w:tcPr>
          <w:p>
            <w:pPr>
              <w:spacing w:after="0"/>
              <w:rPr>
                <w:sz w:val="20"/>
                <w:szCs w:val="20"/>
                <w:color w:val="auto"/>
              </w:rPr>
            </w:pPr>
          </w:p>
        </w:tc>
        <w:tc>
          <w:tcPr>
            <w:tcW w:w="720" w:type="dxa"/>
            <w:vAlign w:val="bottom"/>
          </w:tcPr>
          <w:p>
            <w:pPr>
              <w:jc w:val="right"/>
              <w:ind w:right="203"/>
              <w:spacing w:after="0"/>
              <w:rPr>
                <w:sz w:val="20"/>
                <w:szCs w:val="20"/>
                <w:color w:val="auto"/>
              </w:rPr>
            </w:pPr>
            <w:r>
              <w:rPr>
                <w:rFonts w:ascii="Arial" w:cs="Arial" w:eastAsia="Arial" w:hAnsi="Arial"/>
                <w:sz w:val="18"/>
                <w:szCs w:val="18"/>
                <w:b w:val="1"/>
                <w:bCs w:val="1"/>
                <w:color w:val="auto"/>
                <w:w w:val="99"/>
              </w:rPr>
              <w:t>2025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83"/>
              <w:spacing w:after="0"/>
              <w:rPr>
                <w:sz w:val="20"/>
                <w:szCs w:val="20"/>
                <w:color w:val="auto"/>
              </w:rPr>
            </w:pPr>
            <w:r>
              <w:rPr>
                <w:rFonts w:ascii="Arial" w:cs="Arial" w:eastAsia="Arial" w:hAnsi="Arial"/>
                <w:sz w:val="18"/>
                <w:szCs w:val="18"/>
                <w:b w:val="1"/>
                <w:bCs w:val="1"/>
                <w:color w:val="auto"/>
                <w:w w:val="99"/>
              </w:rPr>
              <w:t>2026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03"/>
              <w:spacing w:after="0"/>
              <w:rPr>
                <w:sz w:val="20"/>
                <w:szCs w:val="20"/>
                <w:color w:val="auto"/>
              </w:rPr>
            </w:pPr>
            <w:r>
              <w:rPr>
                <w:rFonts w:ascii="Arial" w:cs="Arial" w:eastAsia="Arial" w:hAnsi="Arial"/>
                <w:sz w:val="18"/>
                <w:szCs w:val="18"/>
                <w:b w:val="1"/>
                <w:bCs w:val="1"/>
                <w:color w:val="auto"/>
              </w:rPr>
              <w:t>2027</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2028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83"/>
              <w:spacing w:after="0"/>
              <w:rPr>
                <w:sz w:val="20"/>
                <w:szCs w:val="20"/>
                <w:color w:val="auto"/>
              </w:rPr>
            </w:pPr>
            <w:r>
              <w:rPr>
                <w:rFonts w:ascii="Arial" w:cs="Arial" w:eastAsia="Arial" w:hAnsi="Arial"/>
                <w:sz w:val="18"/>
                <w:szCs w:val="18"/>
                <w:b w:val="1"/>
                <w:bCs w:val="1"/>
                <w:color w:val="auto"/>
              </w:rPr>
              <w:t>2029</w:t>
            </w:r>
          </w:p>
        </w:tc>
        <w:tc>
          <w:tcPr>
            <w:tcW w:w="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Thereafter</w:t>
            </w:r>
          </w:p>
        </w:tc>
        <w:tc>
          <w:tcPr>
            <w:tcW w:w="60" w:type="dxa"/>
            <w:vAlign w:val="bottom"/>
          </w:tcPr>
          <w:p>
            <w:pPr>
              <w:spacing w:after="0"/>
              <w:rPr>
                <w:sz w:val="20"/>
                <w:szCs w:val="20"/>
                <w:color w:val="auto"/>
              </w:rPr>
            </w:pPr>
          </w:p>
        </w:tc>
        <w:tc>
          <w:tcPr>
            <w:tcW w:w="11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02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w w:val="91"/>
              </w:rPr>
              <w:t>Secured senior term loans due 2028</w:t>
            </w:r>
          </w:p>
        </w:tc>
        <w:tc>
          <w:tcPr>
            <w:tcW w:w="2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15,102</w:t>
            </w:r>
          </w:p>
        </w:tc>
        <w:tc>
          <w:tcPr>
            <w:tcW w:w="60" w:type="dxa"/>
            <w:vAlign w:val="bottom"/>
            <w:tcBorders>
              <w:top w:val="single" w:sz="8" w:color="E6E6E6"/>
            </w:tcBorders>
            <w:shd w:val="clear" w:color="auto" w:fill="E6E6E6"/>
          </w:tcPr>
          <w:p>
            <w:pPr>
              <w:spacing w:after="0"/>
              <w:rPr>
                <w:sz w:val="20"/>
                <w:szCs w:val="20"/>
                <w:color w:val="auto"/>
              </w:rPr>
            </w:pPr>
          </w:p>
        </w:tc>
        <w:tc>
          <w:tcPr>
            <w:tcW w:w="2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8"/>
              </w:rPr>
              <w:t>15,102</w:t>
            </w:r>
          </w:p>
        </w:tc>
        <w:tc>
          <w:tcPr>
            <w:tcW w:w="60" w:type="dxa"/>
            <w:vAlign w:val="bottom"/>
            <w:tcBorders>
              <w:top w:val="single" w:sz="8" w:color="E6E6E6"/>
            </w:tcBorders>
            <w:shd w:val="clear" w:color="auto" w:fill="E6E6E6"/>
          </w:tcPr>
          <w:p>
            <w:pPr>
              <w:spacing w:after="0"/>
              <w:rPr>
                <w:sz w:val="20"/>
                <w:szCs w:val="20"/>
                <w:color w:val="auto"/>
              </w:rPr>
            </w:pPr>
          </w:p>
        </w:tc>
        <w:tc>
          <w:tcPr>
            <w:tcW w:w="1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15,102</w:t>
            </w:r>
          </w:p>
        </w:tc>
        <w:tc>
          <w:tcPr>
            <w:tcW w:w="60" w:type="dxa"/>
            <w:vAlign w:val="bottom"/>
            <w:tcBorders>
              <w:top w:val="single" w:sz="8" w:color="E6E6E6"/>
            </w:tcBorders>
            <w:shd w:val="clear" w:color="auto" w:fill="E6E6E6"/>
          </w:tcPr>
          <w:p>
            <w:pPr>
              <w:spacing w:after="0"/>
              <w:rPr>
                <w:sz w:val="20"/>
                <w:szCs w:val="20"/>
                <w:color w:val="auto"/>
              </w:rPr>
            </w:pPr>
          </w:p>
        </w:tc>
        <w:tc>
          <w:tcPr>
            <w:tcW w:w="96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20"/>
                <w:szCs w:val="20"/>
                <w:color w:val="auto"/>
                <w:w w:val="87"/>
              </w:rPr>
              <w:t>$1,419,592</w:t>
            </w:r>
          </w:p>
        </w:tc>
        <w:tc>
          <w:tcPr>
            <w:tcW w:w="60" w:type="dxa"/>
            <w:vAlign w:val="bottom"/>
            <w:tcBorders>
              <w:top w:val="single" w:sz="8" w:color="E6E6E6"/>
            </w:tcBorders>
            <w:shd w:val="clear" w:color="auto" w:fill="E6E6E6"/>
          </w:tcPr>
          <w:p>
            <w:pPr>
              <w:spacing w:after="0"/>
              <w:rPr>
                <w:sz w:val="20"/>
                <w:szCs w:val="20"/>
                <w:color w:val="auto"/>
              </w:rPr>
            </w:pPr>
          </w:p>
        </w:tc>
        <w:tc>
          <w:tcPr>
            <w:tcW w:w="1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top w:val="single" w:sz="8" w:color="E6E6E6"/>
            </w:tcBorders>
            <w:shd w:val="clear" w:color="auto" w:fill="E6E6E6"/>
          </w:tcPr>
          <w:p>
            <w:pPr>
              <w:spacing w:after="0"/>
              <w:rPr>
                <w:sz w:val="20"/>
                <w:szCs w:val="20"/>
                <w:color w:val="auto"/>
              </w:rPr>
            </w:pPr>
          </w:p>
        </w:tc>
        <w:tc>
          <w:tcPr>
            <w:tcW w:w="18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20"/>
                <w:szCs w:val="20"/>
                <w:color w:val="auto"/>
                <w:w w:val="89"/>
              </w:rPr>
              <w:t>$</w:t>
            </w:r>
          </w:p>
        </w:tc>
        <w:tc>
          <w:tcPr>
            <w:tcW w:w="7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top w:val="single" w:sz="8" w:color="E6E6E6"/>
            </w:tcBorders>
            <w:shd w:val="clear" w:color="auto" w:fill="E6E6E6"/>
          </w:tcPr>
          <w:p>
            <w:pPr>
              <w:spacing w:after="0"/>
              <w:rPr>
                <w:sz w:val="20"/>
                <w:szCs w:val="20"/>
                <w:color w:val="auto"/>
              </w:rPr>
            </w:pP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6"/>
              </w:rPr>
              <w:t>$ 1,464,898</w:t>
            </w:r>
          </w:p>
        </w:tc>
        <w:tc>
          <w:tcPr>
            <w:tcW w:w="20" w:type="dxa"/>
            <w:vAlign w:val="bottom"/>
            <w:tcBorders>
              <w:top w:val="single" w:sz="8" w:color="E6E6E6"/>
            </w:tcBorders>
            <w:shd w:val="clear" w:color="auto" w:fill="E6E6E6"/>
          </w:tcPr>
          <w:p>
            <w:pPr>
              <w:spacing w:after="0"/>
              <w:rPr>
                <w:sz w:val="20"/>
                <w:szCs w:val="20"/>
                <w:color w:val="auto"/>
              </w:rPr>
            </w:pPr>
          </w:p>
        </w:tc>
      </w:tr>
      <w:tr>
        <w:trPr>
          <w:trHeight w:val="278"/>
        </w:trPr>
        <w:tc>
          <w:tcPr>
            <w:tcW w:w="3020" w:type="dxa"/>
            <w:vAlign w:val="bottom"/>
          </w:tcPr>
          <w:p>
            <w:pPr>
              <w:ind w:left="60"/>
              <w:spacing w:after="0"/>
              <w:rPr>
                <w:sz w:val="20"/>
                <w:szCs w:val="20"/>
                <w:color w:val="auto"/>
              </w:rPr>
            </w:pPr>
            <w:r>
              <w:rPr>
                <w:rFonts w:ascii="Arial" w:cs="Arial" w:eastAsia="Arial" w:hAnsi="Arial"/>
                <w:sz w:val="20"/>
                <w:szCs w:val="20"/>
                <w:color w:val="auto"/>
                <w:w w:val="97"/>
              </w:rPr>
              <w:t>Unsecured senior notes due 2027</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1"/>
              </w:rPr>
              <w:t>545,000</w:t>
            </w:r>
          </w:p>
        </w:tc>
        <w:tc>
          <w:tcPr>
            <w:tcW w:w="60" w:type="dxa"/>
            <w:vAlign w:val="bottom"/>
          </w:tcPr>
          <w:p>
            <w:pPr>
              <w:spacing w:after="0"/>
              <w:rPr>
                <w:sz w:val="24"/>
                <w:szCs w:val="24"/>
                <w:color w:val="auto"/>
              </w:rPr>
            </w:pPr>
          </w:p>
        </w:tc>
        <w:tc>
          <w:tcPr>
            <w:tcW w:w="960" w:type="dxa"/>
            <w:vAlign w:val="bottom"/>
          </w:tcPr>
          <w:p>
            <w:pPr>
              <w:ind w:left="68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545,000</w:t>
            </w:r>
          </w:p>
        </w:tc>
        <w:tc>
          <w:tcPr>
            <w:tcW w:w="20" w:type="dxa"/>
            <w:vAlign w:val="bottom"/>
          </w:tcPr>
          <w:p>
            <w:pPr>
              <w:spacing w:after="0"/>
              <w:rPr>
                <w:sz w:val="24"/>
                <w:szCs w:val="24"/>
                <w:color w:val="auto"/>
              </w:rPr>
            </w:pPr>
          </w:p>
        </w:tc>
      </w:tr>
      <w:tr>
        <w:trPr>
          <w:trHeight w:val="284"/>
        </w:trPr>
        <w:tc>
          <w:tcPr>
            <w:tcW w:w="3020" w:type="dxa"/>
            <w:vAlign w:val="bottom"/>
            <w:shd w:val="clear" w:color="auto" w:fill="E6E6E6"/>
          </w:tcPr>
          <w:p>
            <w:pPr>
              <w:ind w:left="60"/>
              <w:spacing w:after="0"/>
              <w:rPr>
                <w:sz w:val="20"/>
                <w:szCs w:val="20"/>
                <w:color w:val="auto"/>
              </w:rPr>
            </w:pPr>
            <w:r>
              <w:rPr>
                <w:rFonts w:ascii="Arial" w:cs="Arial" w:eastAsia="Arial" w:hAnsi="Arial"/>
                <w:sz w:val="20"/>
                <w:szCs w:val="20"/>
                <w:color w:val="auto"/>
                <w:w w:val="97"/>
              </w:rPr>
              <w:t>Unsecured senior notes due 2029</w:t>
            </w: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ind w:left="680"/>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8"/>
              </w:rPr>
              <w:t>300,000</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300,000</w:t>
            </w:r>
          </w:p>
        </w:tc>
        <w:tc>
          <w:tcPr>
            <w:tcW w:w="20" w:type="dxa"/>
            <w:vAlign w:val="bottom"/>
            <w:shd w:val="clear" w:color="auto" w:fill="E6E6E6"/>
          </w:tcPr>
          <w:p>
            <w:pPr>
              <w:spacing w:after="0"/>
              <w:rPr>
                <w:sz w:val="24"/>
                <w:szCs w:val="24"/>
                <w:color w:val="auto"/>
              </w:rPr>
            </w:pPr>
          </w:p>
        </w:tc>
      </w:tr>
      <w:tr>
        <w:trPr>
          <w:trHeight w:val="271"/>
        </w:trPr>
        <w:tc>
          <w:tcPr>
            <w:tcW w:w="302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w w:val="97"/>
              </w:rPr>
              <w:t>Unsecured senior notes due 2031</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500,000</w:t>
            </w:r>
          </w:p>
        </w:tc>
        <w:tc>
          <w:tcPr>
            <w:tcW w:w="60" w:type="dxa"/>
            <w:vAlign w:val="bottom"/>
            <w:tcBorders>
              <w:bottom w:val="single" w:sz="8" w:color="E6E6E6"/>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500,000</w:t>
            </w:r>
          </w:p>
        </w:tc>
        <w:tc>
          <w:tcPr>
            <w:tcW w:w="20" w:type="dxa"/>
            <w:vAlign w:val="bottom"/>
            <w:tcBorders>
              <w:bottom w:val="single" w:sz="8" w:color="E6E6E6"/>
            </w:tcBorders>
          </w:tcPr>
          <w:p>
            <w:pPr>
              <w:spacing w:after="0"/>
              <w:rPr>
                <w:sz w:val="23"/>
                <w:szCs w:val="23"/>
                <w:color w:val="auto"/>
              </w:rPr>
            </w:pPr>
          </w:p>
        </w:tc>
      </w:tr>
      <w:tr>
        <w:trPr>
          <w:trHeight w:val="280"/>
        </w:trPr>
        <w:tc>
          <w:tcPr>
            <w:tcW w:w="30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Long term debt, at par</w:t>
            </w: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15,102</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8"/>
              </w:rPr>
              <w:t>15,102</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1"/>
              </w:rPr>
              <w:t>560,102</w:t>
            </w:r>
          </w:p>
        </w:tc>
        <w:tc>
          <w:tcPr>
            <w:tcW w:w="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center"/>
              <w:spacing w:after="0"/>
              <w:rPr>
                <w:sz w:val="20"/>
                <w:szCs w:val="20"/>
                <w:color w:val="auto"/>
              </w:rPr>
            </w:pPr>
            <w:r>
              <w:rPr>
                <w:rFonts w:ascii="Arial" w:cs="Arial" w:eastAsia="Arial" w:hAnsi="Arial"/>
                <w:sz w:val="20"/>
                <w:szCs w:val="20"/>
                <w:color w:val="auto"/>
                <w:w w:val="87"/>
              </w:rPr>
              <w:t>$1,419,592</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8"/>
              </w:rPr>
              <w:t>300,000</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20"/>
                <w:szCs w:val="20"/>
                <w:color w:val="auto"/>
                <w:w w:val="89"/>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1"/>
              </w:rPr>
              <w:t>500,000</w:t>
            </w:r>
          </w:p>
        </w:tc>
        <w:tc>
          <w:tcPr>
            <w:tcW w:w="6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6"/>
              </w:rPr>
              <w:t>$ 2,809,898</w:t>
            </w:r>
          </w:p>
        </w:tc>
        <w:tc>
          <w:tcPr>
            <w:tcW w:w="20" w:type="dxa"/>
            <w:vAlign w:val="bottom"/>
            <w:tcBorders>
              <w:bottom w:val="single" w:sz="8" w:color="E6E6E6"/>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-43180</wp:posOffset>
            </wp:positionV>
            <wp:extent cx="4528820" cy="50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28820" cy="50165"/>
                    </a:xfrm>
                    <a:prstGeom prst="rect">
                      <a:avLst/>
                    </a:prstGeom>
                    <a:noFill/>
                  </pic:spPr>
                </pic:pic>
              </a:graphicData>
            </a:graphic>
          </wp:anchor>
        </w:drawing>
      </w:r>
    </w:p>
    <w:p>
      <w:pPr>
        <w:spacing w:after="0" w:line="145" w:lineRule="exact"/>
        <w:rPr>
          <w:sz w:val="20"/>
          <w:szCs w:val="20"/>
          <w:color w:val="auto"/>
        </w:rPr>
      </w:pPr>
    </w:p>
    <w:p>
      <w:pPr>
        <w:ind w:right="120" w:firstLine="709"/>
        <w:spacing w:after="0" w:line="303" w:lineRule="auto"/>
        <w:rPr>
          <w:sz w:val="20"/>
          <w:szCs w:val="20"/>
          <w:color w:val="auto"/>
        </w:rPr>
      </w:pPr>
      <w:r>
        <w:rPr>
          <w:rFonts w:ascii="Arial" w:cs="Arial" w:eastAsia="Arial" w:hAnsi="Arial"/>
          <w:sz w:val="19"/>
          <w:szCs w:val="19"/>
          <w:color w:val="auto"/>
        </w:rPr>
        <w:t>The interest rate on the $545.0 million unsecured senior notes due July 15, 2027 is fixed at 4.875%. Interest payments on this debt are due semiannually on January 15 and July 15 in the amount of $13.3 million upon each date.</w:t>
      </w:r>
    </w:p>
    <w:p>
      <w:pPr>
        <w:spacing w:after="0" w:line="79" w:lineRule="exact"/>
        <w:rPr>
          <w:sz w:val="20"/>
          <w:szCs w:val="20"/>
          <w:color w:val="auto"/>
        </w:rPr>
      </w:pPr>
    </w:p>
    <w:p>
      <w:pPr>
        <w:ind w:right="120" w:firstLine="709"/>
        <w:spacing w:after="0" w:line="333" w:lineRule="auto"/>
        <w:rPr>
          <w:sz w:val="20"/>
          <w:szCs w:val="20"/>
          <w:color w:val="auto"/>
        </w:rPr>
      </w:pPr>
      <w:r>
        <w:rPr>
          <w:rFonts w:ascii="Arial" w:cs="Arial" w:eastAsia="Arial" w:hAnsi="Arial"/>
          <w:sz w:val="18"/>
          <w:szCs w:val="18"/>
          <w:color w:val="auto"/>
        </w:rPr>
        <w:t>The interest rate on the $300.0 million unsecured senior notes due July 15, 2029 is fixed at 5.125%. Interest payments on this debt are also due semiannually on January 15 and July 15 in the amount of $7.7 million upon each date.</w:t>
      </w:r>
    </w:p>
    <w:p>
      <w:pPr>
        <w:spacing w:after="0" w:line="56" w:lineRule="exact"/>
        <w:rPr>
          <w:sz w:val="20"/>
          <w:szCs w:val="20"/>
          <w:color w:val="auto"/>
        </w:rPr>
      </w:pPr>
    </w:p>
    <w:p>
      <w:pPr>
        <w:jc w:val="both"/>
        <w:ind w:right="640" w:firstLine="709"/>
        <w:spacing w:after="0" w:line="405" w:lineRule="auto"/>
        <w:rPr>
          <w:sz w:val="20"/>
          <w:szCs w:val="20"/>
          <w:color w:val="auto"/>
        </w:rPr>
      </w:pPr>
      <w:r>
        <w:rPr>
          <w:rFonts w:ascii="Arial" w:cs="Arial" w:eastAsia="Arial" w:hAnsi="Arial"/>
          <w:sz w:val="16"/>
          <w:szCs w:val="16"/>
          <w:color w:val="auto"/>
        </w:rPr>
        <w:t>The interest rate on the $500.0 million unsecured senior notes due February 1, 2031 is fixed at 6.375%. Interest payments on this debt are due semiannually on February 1 and August 1 in the amount of $15.9 million upon each date.</w:t>
      </w:r>
    </w:p>
    <w:p>
      <w:pPr>
        <w:spacing w:after="0" w:line="9" w:lineRule="exact"/>
        <w:rPr>
          <w:sz w:val="20"/>
          <w:szCs w:val="20"/>
          <w:color w:val="auto"/>
        </w:rPr>
      </w:pPr>
    </w:p>
    <w:p>
      <w:pPr>
        <w:ind w:right="180" w:firstLine="709"/>
        <w:spacing w:after="0" w:line="252" w:lineRule="auto"/>
        <w:rPr>
          <w:sz w:val="20"/>
          <w:szCs w:val="20"/>
          <w:color w:val="auto"/>
        </w:rPr>
      </w:pPr>
      <w:r>
        <w:rPr>
          <w:rFonts w:ascii="Arial" w:cs="Arial" w:eastAsia="Arial" w:hAnsi="Arial"/>
          <w:sz w:val="20"/>
          <w:szCs w:val="20"/>
          <w:color w:val="auto"/>
        </w:rPr>
        <w:t>As of December 31, 2024, interest payments on the $600.0 million of our secured senior term loan, that is effectively fixed by the 2022 Swaps, are approximately $1.9 million per month, inclusive of the 1.75% interest rate margin and 1.965% fixed swap rate, discussed above. We continue to have variable interest rate risk relative to the portion of our secured senior term loans which exceeds the $600.0 million of notional of the 2022 Swaps. Should the average interest rate on the remaining variable portion of our long-term debt change by 100 basis points, we estimate that our annual interest expense would change by up to approximately $8.6 million.</w:t>
      </w:r>
    </w:p>
    <w:p>
      <w:pPr>
        <w:spacing w:after="0" w:line="127" w:lineRule="exact"/>
        <w:rPr>
          <w:sz w:val="20"/>
          <w:szCs w:val="20"/>
          <w:color w:val="auto"/>
        </w:rPr>
      </w:pPr>
    </w:p>
    <w:p>
      <w:pPr>
        <w:ind w:right="20" w:firstLine="709"/>
        <w:spacing w:after="0" w:line="256" w:lineRule="auto"/>
        <w:rPr>
          <w:sz w:val="20"/>
          <w:szCs w:val="20"/>
          <w:color w:val="auto"/>
        </w:rPr>
      </w:pPr>
      <w:r>
        <w:rPr>
          <w:rFonts w:ascii="Arial" w:cs="Arial" w:eastAsia="Arial" w:hAnsi="Arial"/>
          <w:sz w:val="20"/>
          <w:szCs w:val="20"/>
          <w:color w:val="auto"/>
        </w:rPr>
        <w:t>In addition to the fixed and variable borrowings described above, we have a revolving credit agreement with a maximum borrowing of up to $600.0 million. As of December 31, 2024, the Company had no borrowings outstanding under the facility, letters of credit of $130.0 million issued under the facility and $470.0 million available to borrow. Borrowings under this facility would be subject to interest rate variability.</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Risk</w:t>
      </w:r>
    </w:p>
    <w:p>
      <w:pPr>
        <w:spacing w:after="0" w:line="171" w:lineRule="exact"/>
        <w:rPr>
          <w:sz w:val="20"/>
          <w:szCs w:val="20"/>
          <w:color w:val="auto"/>
        </w:rPr>
      </w:pPr>
    </w:p>
    <w:p>
      <w:pPr>
        <w:ind w:right="80" w:firstLine="758"/>
        <w:spacing w:after="0" w:line="289" w:lineRule="auto"/>
        <w:rPr>
          <w:sz w:val="20"/>
          <w:szCs w:val="20"/>
          <w:color w:val="auto"/>
        </w:rPr>
      </w:pPr>
      <w:r>
        <w:rPr>
          <w:rFonts w:ascii="Arial" w:cs="Arial" w:eastAsia="Arial" w:hAnsi="Arial"/>
          <w:sz w:val="18"/>
          <w:szCs w:val="18"/>
          <w:color w:val="auto"/>
        </w:rPr>
        <w:t>We view our investment in our foreign subsidiaries as long-term; thus, we have not entered into any hedging transactions between any two foreign currencies or between any of the foreign currencies in which we transact business and the U.S. Dollar. Given our significant investment in Canada and operations in India and the fluctuations that have and can occur between the U.S. Dollar and Canadian Dollar or Indian Rupee exchange rates, significant movements in cumulative translation adjustment amounts recorded as a component of other comprehensive loss can occur in any given period.</w:t>
      </w:r>
    </w:p>
    <w:p>
      <w:pPr>
        <w:sectPr>
          <w:pgSz w:w="11880" w:h="15480" w:orient="portrait"/>
          <w:cols w:equalWidth="0" w:num="1">
            <w:col w:w="10120"/>
          </w:cols>
          <w:pgMar w:left="880" w:top="568" w:right="88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880" w:h="15480" w:orient="portrait"/>
          <w:cols w:equalWidth="0" w:num="1">
            <w:col w:w="10120"/>
          </w:cols>
          <w:pgMar w:left="880" w:top="568" w:right="880" w:bottom="0" w:gutter="0" w:footer="0" w:header="0"/>
          <w:type w:val="continuous"/>
        </w:sectPr>
      </w:pPr>
    </w:p>
    <w:bookmarkStart w:id="54" w:name="page55"/>
    <w:bookmarkEnd w:id="54"/>
    <w:p>
      <w:pPr>
        <w:ind w:firstLine="709"/>
        <w:spacing w:after="0" w:line="252" w:lineRule="auto"/>
        <w:rPr>
          <w:sz w:val="20"/>
          <w:szCs w:val="20"/>
          <w:color w:val="auto"/>
        </w:rPr>
      </w:pPr>
      <w:r>
        <w:rPr>
          <w:rFonts w:ascii="Arial" w:cs="Arial" w:eastAsia="Arial" w:hAnsi="Arial"/>
          <w:sz w:val="20"/>
          <w:szCs w:val="20"/>
          <w:color w:val="auto"/>
        </w:rPr>
        <w:t>During 2024, our Canadian subsidiaries transacted a portion of their business in U.S. Dollars and at any period end had cash on deposit in U.S. Dollars and outstanding U.S. Dollar accounts receivable and payable balances related to their operations. Those U.S. denominated balances are subject to foreign currency gains or losses. Additionally, exchange rate movements also affect the translation of Canadian generated profits and losses into U.S. Dollars. Had the Canadian Dollar been 10.0% stronger or weaker against the U.S. Dollar, we would have reported increased or decreased net income of $16.4 million for the year ended December 31, 2024.</w:t>
      </w:r>
    </w:p>
    <w:p>
      <w:pPr>
        <w:sectPr>
          <w:pgSz w:w="11880" w:h="15480" w:orient="portrait"/>
          <w:cols w:equalWidth="0" w:num="1">
            <w:col w:w="10100"/>
          </w:cols>
          <w:pgMar w:left="880" w:top="5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880" w:h="15480" w:orient="portrait"/>
          <w:cols w:equalWidth="0" w:num="1">
            <w:col w:w="10100"/>
          </w:cols>
          <w:pgMar w:left="880" w:top="575" w:right="900" w:bottom="0" w:gutter="0" w:footer="0" w:header="0"/>
          <w:type w:val="continuous"/>
        </w:sectPr>
      </w:pPr>
    </w:p>
    <w:bookmarkStart w:id="55" w:name="page56"/>
    <w:bookmarkEnd w:id="55"/>
    <w:p>
      <w:pPr>
        <w:ind w:left="60"/>
        <w:spacing w:after="0"/>
        <w:tabs>
          <w:tab w:leader="none" w:pos="112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INDEX TO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Report of Independent Registered Public Accounting Firm (PCAOB ID No. 34)</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Consolidated Balance Sheets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Consolidated Statements of Operations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Consolidated Statements of Comprehensive Income</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Consolidated Statements of Cash Flows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Consolidated Statements of Stockholders' Equity</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Notes to Consolidated Financial Statements</w:t>
      </w:r>
    </w:p>
    <w:p>
      <w:pPr>
        <w:spacing w:after="0" w:line="51" w:lineRule="exact"/>
        <w:rPr>
          <w:sz w:val="20"/>
          <w:szCs w:val="20"/>
          <w:color w:val="auto"/>
        </w:rPr>
      </w:pPr>
    </w:p>
    <w:p>
      <w:pPr>
        <w:ind w:left="640" w:hanging="284"/>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Operations</w:t>
      </w:r>
    </w:p>
    <w:p>
      <w:pPr>
        <w:spacing w:after="0" w:line="50" w:lineRule="exact"/>
        <w:rPr>
          <w:rFonts w:ascii="Arial" w:cs="Arial" w:eastAsia="Arial" w:hAnsi="Arial"/>
          <w:sz w:val="20"/>
          <w:szCs w:val="20"/>
          <w:color w:val="auto"/>
        </w:rPr>
      </w:pPr>
    </w:p>
    <w:p>
      <w:pPr>
        <w:ind w:left="640" w:hanging="284"/>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Significant Accounting Policies</w:t>
      </w:r>
    </w:p>
    <w:p>
      <w:pPr>
        <w:spacing w:after="0" w:line="50" w:lineRule="exact"/>
        <w:rPr>
          <w:rFonts w:ascii="Arial" w:cs="Arial" w:eastAsia="Arial" w:hAnsi="Arial"/>
          <w:sz w:val="20"/>
          <w:szCs w:val="20"/>
          <w:color w:val="auto"/>
        </w:rPr>
      </w:pPr>
    </w:p>
    <w:p>
      <w:pPr>
        <w:ind w:left="640" w:hanging="284"/>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Revenues</w:t>
      </w:r>
    </w:p>
    <w:p>
      <w:pPr>
        <w:spacing w:after="0" w:line="50" w:lineRule="exact"/>
        <w:rPr>
          <w:rFonts w:ascii="Arial" w:cs="Arial" w:eastAsia="Arial" w:hAnsi="Arial"/>
          <w:sz w:val="20"/>
          <w:szCs w:val="20"/>
          <w:color w:val="auto"/>
        </w:rPr>
      </w:pPr>
    </w:p>
    <w:p>
      <w:pPr>
        <w:ind w:left="640" w:hanging="284"/>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Business Combinations</w:t>
      </w:r>
    </w:p>
    <w:p>
      <w:pPr>
        <w:spacing w:after="0" w:line="50" w:lineRule="exact"/>
        <w:rPr>
          <w:rFonts w:ascii="Arial" w:cs="Arial" w:eastAsia="Arial" w:hAnsi="Arial"/>
          <w:sz w:val="20"/>
          <w:szCs w:val="20"/>
          <w:color w:val="auto"/>
        </w:rPr>
      </w:pPr>
    </w:p>
    <w:p>
      <w:pPr>
        <w:ind w:left="640" w:hanging="284"/>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Disposition of Business</w:t>
      </w:r>
    </w:p>
    <w:p>
      <w:pPr>
        <w:spacing w:after="0" w:line="50" w:lineRule="exact"/>
        <w:rPr>
          <w:rFonts w:ascii="Arial" w:cs="Arial" w:eastAsia="Arial" w:hAnsi="Arial"/>
          <w:sz w:val="20"/>
          <w:szCs w:val="20"/>
          <w:color w:val="auto"/>
        </w:rPr>
      </w:pPr>
    </w:p>
    <w:p>
      <w:pPr>
        <w:ind w:left="640" w:hanging="284"/>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Inventories and Supplies</w:t>
      </w:r>
    </w:p>
    <w:p>
      <w:pPr>
        <w:spacing w:after="0" w:line="50" w:lineRule="exact"/>
        <w:rPr>
          <w:rFonts w:ascii="Arial" w:cs="Arial" w:eastAsia="Arial" w:hAnsi="Arial"/>
          <w:sz w:val="20"/>
          <w:szCs w:val="20"/>
          <w:color w:val="auto"/>
        </w:rPr>
      </w:pPr>
    </w:p>
    <w:p>
      <w:pPr>
        <w:ind w:left="640" w:hanging="284"/>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Property, Plant and Equipment</w:t>
      </w:r>
    </w:p>
    <w:p>
      <w:pPr>
        <w:spacing w:after="0" w:line="50" w:lineRule="exact"/>
        <w:rPr>
          <w:rFonts w:ascii="Arial" w:cs="Arial" w:eastAsia="Arial" w:hAnsi="Arial"/>
          <w:sz w:val="20"/>
          <w:szCs w:val="20"/>
          <w:color w:val="auto"/>
        </w:rPr>
      </w:pPr>
    </w:p>
    <w:p>
      <w:pPr>
        <w:ind w:left="640" w:hanging="284"/>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50" w:lineRule="exact"/>
        <w:rPr>
          <w:rFonts w:ascii="Arial" w:cs="Arial" w:eastAsia="Arial" w:hAnsi="Arial"/>
          <w:sz w:val="20"/>
          <w:szCs w:val="20"/>
          <w:color w:val="auto"/>
        </w:rPr>
      </w:pPr>
    </w:p>
    <w:p>
      <w:pPr>
        <w:ind w:left="640" w:hanging="284"/>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Accrued Expenses and Other Current Liabilities</w:t>
      </w:r>
    </w:p>
    <w:p>
      <w:pPr>
        <w:spacing w:after="0" w:line="50" w:lineRule="exact"/>
        <w:rPr>
          <w:rFonts w:ascii="Arial" w:cs="Arial" w:eastAsia="Arial" w:hAnsi="Arial"/>
          <w:sz w:val="20"/>
          <w:szCs w:val="20"/>
          <w:color w:val="auto"/>
        </w:rPr>
      </w:pPr>
    </w:p>
    <w:p>
      <w:pPr>
        <w:ind w:left="740" w:hanging="384"/>
        <w:spacing w:after="0"/>
        <w:tabs>
          <w:tab w:leader="none" w:pos="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Closure and Post-Closure Liabilities</w:t>
      </w:r>
    </w:p>
    <w:p>
      <w:pPr>
        <w:spacing w:after="0" w:line="50" w:lineRule="exact"/>
        <w:rPr>
          <w:rFonts w:ascii="Arial" w:cs="Arial" w:eastAsia="Arial" w:hAnsi="Arial"/>
          <w:sz w:val="20"/>
          <w:szCs w:val="20"/>
          <w:color w:val="auto"/>
        </w:rPr>
      </w:pPr>
    </w:p>
    <w:p>
      <w:pPr>
        <w:ind w:left="740" w:hanging="384"/>
        <w:spacing w:after="0"/>
        <w:tabs>
          <w:tab w:leader="none" w:pos="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Remedial Liabilities</w:t>
      </w:r>
    </w:p>
    <w:p>
      <w:pPr>
        <w:spacing w:after="0" w:line="50" w:lineRule="exact"/>
        <w:rPr>
          <w:rFonts w:ascii="Arial" w:cs="Arial" w:eastAsia="Arial" w:hAnsi="Arial"/>
          <w:sz w:val="20"/>
          <w:szCs w:val="20"/>
          <w:color w:val="auto"/>
        </w:rPr>
      </w:pPr>
    </w:p>
    <w:p>
      <w:pPr>
        <w:ind w:left="740" w:hanging="384"/>
        <w:spacing w:after="0"/>
        <w:tabs>
          <w:tab w:leader="none" w:pos="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Financing Arrangements</w:t>
      </w:r>
    </w:p>
    <w:p>
      <w:pPr>
        <w:spacing w:after="0" w:line="50" w:lineRule="exact"/>
        <w:rPr>
          <w:rFonts w:ascii="Arial" w:cs="Arial" w:eastAsia="Arial" w:hAnsi="Arial"/>
          <w:sz w:val="20"/>
          <w:szCs w:val="20"/>
          <w:color w:val="auto"/>
        </w:rPr>
      </w:pPr>
    </w:p>
    <w:p>
      <w:pPr>
        <w:ind w:left="740" w:hanging="384"/>
        <w:spacing w:after="0"/>
        <w:tabs>
          <w:tab w:leader="none" w:pos="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50" w:lineRule="exact"/>
        <w:rPr>
          <w:rFonts w:ascii="Arial" w:cs="Arial" w:eastAsia="Arial" w:hAnsi="Arial"/>
          <w:sz w:val="20"/>
          <w:szCs w:val="20"/>
          <w:color w:val="auto"/>
        </w:rPr>
      </w:pPr>
    </w:p>
    <w:p>
      <w:pPr>
        <w:ind w:left="740" w:hanging="384"/>
        <w:spacing w:after="0"/>
        <w:tabs>
          <w:tab w:leader="none" w:pos="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50" w:lineRule="exact"/>
        <w:rPr>
          <w:rFonts w:ascii="Arial" w:cs="Arial" w:eastAsia="Arial" w:hAnsi="Arial"/>
          <w:sz w:val="20"/>
          <w:szCs w:val="20"/>
          <w:color w:val="auto"/>
        </w:rPr>
      </w:pPr>
    </w:p>
    <w:p>
      <w:pPr>
        <w:ind w:left="740" w:hanging="384"/>
        <w:spacing w:after="0"/>
        <w:tabs>
          <w:tab w:leader="none" w:pos="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50" w:lineRule="exact"/>
        <w:rPr>
          <w:rFonts w:ascii="Arial" w:cs="Arial" w:eastAsia="Arial" w:hAnsi="Arial"/>
          <w:sz w:val="20"/>
          <w:szCs w:val="20"/>
          <w:color w:val="auto"/>
        </w:rPr>
      </w:pPr>
    </w:p>
    <w:p>
      <w:pPr>
        <w:ind w:left="740" w:hanging="384"/>
        <w:spacing w:after="0"/>
        <w:tabs>
          <w:tab w:leader="none" w:pos="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50" w:lineRule="exact"/>
        <w:rPr>
          <w:rFonts w:ascii="Arial" w:cs="Arial" w:eastAsia="Arial" w:hAnsi="Arial"/>
          <w:sz w:val="20"/>
          <w:szCs w:val="20"/>
          <w:color w:val="auto"/>
        </w:rPr>
      </w:pPr>
    </w:p>
    <w:p>
      <w:pPr>
        <w:ind w:left="740" w:hanging="384"/>
        <w:spacing w:after="0"/>
        <w:tabs>
          <w:tab w:leader="none" w:pos="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50" w:lineRule="exact"/>
        <w:rPr>
          <w:rFonts w:ascii="Arial" w:cs="Arial" w:eastAsia="Arial" w:hAnsi="Arial"/>
          <w:sz w:val="20"/>
          <w:szCs w:val="20"/>
          <w:color w:val="auto"/>
        </w:rPr>
      </w:pPr>
    </w:p>
    <w:p>
      <w:pPr>
        <w:ind w:left="740" w:hanging="384"/>
        <w:spacing w:after="0"/>
        <w:tabs>
          <w:tab w:leader="none" w:pos="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50" w:lineRule="exact"/>
        <w:rPr>
          <w:rFonts w:ascii="Arial" w:cs="Arial" w:eastAsia="Arial" w:hAnsi="Arial"/>
          <w:sz w:val="20"/>
          <w:szCs w:val="20"/>
          <w:color w:val="auto"/>
        </w:rPr>
      </w:pPr>
    </w:p>
    <w:p>
      <w:pPr>
        <w:ind w:left="740" w:hanging="384"/>
        <w:spacing w:after="0"/>
        <w:tabs>
          <w:tab w:leader="none" w:pos="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Leases</w:t>
      </w:r>
    </w:p>
    <w:p>
      <w:pPr>
        <w:spacing w:after="0" w:line="50" w:lineRule="exact"/>
        <w:rPr>
          <w:rFonts w:ascii="Arial" w:cs="Arial" w:eastAsia="Arial" w:hAnsi="Arial"/>
          <w:sz w:val="20"/>
          <w:szCs w:val="20"/>
          <w:color w:val="auto"/>
        </w:rPr>
      </w:pPr>
    </w:p>
    <w:p>
      <w:pPr>
        <w:ind w:left="740" w:hanging="384"/>
        <w:spacing w:after="0"/>
        <w:tabs>
          <w:tab w:leader="none" w:pos="7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Segment Reporting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6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19685</wp:posOffset>
            </wp:positionV>
            <wp:extent cx="74104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1045" cy="12700"/>
                    </a:xfrm>
                    <a:prstGeom prst="rect">
                      <a:avLst/>
                    </a:prstGeom>
                    <a:noFill/>
                  </pic:spPr>
                </pic:pic>
              </a:graphicData>
            </a:graphic>
          </wp:anchor>
        </w:drawing>
      </w:r>
    </w:p>
    <w:p>
      <w:pPr>
        <w:spacing w:after="0" w:line="342" w:lineRule="exact"/>
        <w:rPr>
          <w:sz w:val="20"/>
          <w:szCs w:val="20"/>
          <w:color w:val="auto"/>
        </w:rPr>
      </w:pPr>
    </w:p>
    <w:p>
      <w:pPr>
        <w:ind w:left="60"/>
        <w:spacing w:after="0"/>
        <w:rPr>
          <w:sz w:val="20"/>
          <w:szCs w:val="20"/>
          <w:color w:val="auto"/>
        </w:rPr>
      </w:pPr>
      <w:r>
        <w:rPr>
          <w:rFonts w:ascii="Arial" w:cs="Arial" w:eastAsia="Arial" w:hAnsi="Arial"/>
          <w:sz w:val="20"/>
          <w:szCs w:val="20"/>
          <w:color w:val="auto"/>
        </w:rPr>
        <w:t>49</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20"/>
          <w:szCs w:val="20"/>
          <w:color w:val="auto"/>
        </w:rPr>
        <w:t>51</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20"/>
          <w:szCs w:val="20"/>
          <w:color w:val="auto"/>
        </w:rPr>
        <w:t>52</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20"/>
          <w:szCs w:val="20"/>
          <w:color w:val="auto"/>
        </w:rPr>
        <w:t>53</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20"/>
          <w:szCs w:val="20"/>
          <w:color w:val="auto"/>
        </w:rPr>
        <w:t>54</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20"/>
          <w:szCs w:val="20"/>
          <w:color w:val="auto"/>
        </w:rPr>
        <w:t>55</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56</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56</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56</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64</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68</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71</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72</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72</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73</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74</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75</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76</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78</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81</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81</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85</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85</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86</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87</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89</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90</w:t>
      </w:r>
    </w:p>
    <w:p>
      <w:pPr>
        <w:spacing w:after="0" w:line="200" w:lineRule="exact"/>
        <w:rPr>
          <w:sz w:val="20"/>
          <w:szCs w:val="20"/>
          <w:color w:val="auto"/>
        </w:rPr>
      </w:pPr>
    </w:p>
    <w:p>
      <w:pPr>
        <w:sectPr>
          <w:pgSz w:w="11880" w:h="15480" w:orient="portrait"/>
          <w:cols w:equalWidth="0" w:num="2">
            <w:col w:w="7740" w:space="480"/>
            <w:col w:w="780"/>
          </w:cols>
          <w:pgMar w:left="1440" w:top="5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880" w:h="15480" w:orient="portrait"/>
          <w:cols w:equalWidth="0" w:num="1">
            <w:col w:w="9000"/>
          </w:cols>
          <w:pgMar w:left="1440" w:top="568" w:right="1440" w:bottom="0" w:gutter="0" w:footer="0" w:header="0"/>
          <w:type w:val="continuous"/>
        </w:sectPr>
      </w:pPr>
    </w:p>
    <w:bookmarkStart w:id="56" w:name="page57"/>
    <w:bookmarkEnd w:id="56"/>
    <w:p>
      <w:pPr>
        <w:ind w:right="1660" w:firstLine="1679"/>
        <w:spacing w:after="0" w:line="413"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stockholders and the Board of Directors of Clean Harbors, Inc. </w:t>
      </w:r>
      <w:r>
        <w:rPr>
          <w:rFonts w:ascii="Arial" w:cs="Arial" w:eastAsia="Arial" w:hAnsi="Arial"/>
          <w:sz w:val="20"/>
          <w:szCs w:val="20"/>
          <w:b w:val="1"/>
          <w:bCs w:val="1"/>
          <w:color w:val="auto"/>
        </w:rPr>
        <w:t>Opinion on the Financial Statements</w:t>
      </w:r>
    </w:p>
    <w:p>
      <w:pPr>
        <w:spacing w:after="0" w:line="2"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auto"/>
        </w:rPr>
        <w:t>We have audited the accompanying consolidated balance sheets of Clean Harbors, Inc. and subsidiaries (the "Company") as of December 31, 2024 and 2023, the related consolidated statements of operations, comprehensive income, cash flows, and stockholders’ equity,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20"/>
          <w:szCs w:val="20"/>
          <w:b w:val="1"/>
          <w:bCs w:val="1"/>
          <w:i w:val="1"/>
          <w:iCs w:val="1"/>
          <w:color w:val="auto"/>
        </w:rPr>
        <w:t xml:space="preserve">Internal Control - Integrated Framework (2013) </w:t>
      </w:r>
      <w:r>
        <w:rPr>
          <w:rFonts w:ascii="Arial" w:cs="Arial" w:eastAsia="Arial" w:hAnsi="Arial"/>
          <w:sz w:val="20"/>
          <w:szCs w:val="20"/>
          <w:color w:val="auto"/>
        </w:rPr>
        <w:t>issued by the Committee of Sponsoring Organizations of the Treadway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Commission and our report dated February 19, 2025, expressed an unqualified opinion on the Company's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71" w:lineRule="exact"/>
        <w:rPr>
          <w:sz w:val="20"/>
          <w:szCs w:val="20"/>
          <w:color w:val="auto"/>
        </w:rPr>
      </w:pPr>
    </w:p>
    <w:p>
      <w:pPr>
        <w:ind w:right="140"/>
        <w:spacing w:after="0" w:line="274"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7" w:lineRule="exact"/>
        <w:rPr>
          <w:sz w:val="20"/>
          <w:szCs w:val="20"/>
          <w:color w:val="auto"/>
        </w:rPr>
      </w:pPr>
    </w:p>
    <w:p>
      <w:pPr>
        <w:ind w:right="620"/>
        <w:spacing w:after="0" w:line="277" w:lineRule="auto"/>
        <w:rPr>
          <w:sz w:val="20"/>
          <w:szCs w:val="20"/>
          <w:color w:val="auto"/>
        </w:rPr>
      </w:pPr>
      <w:r>
        <w:rPr>
          <w:rFonts w:ascii="Arial" w:cs="Arial" w:eastAsia="Arial" w:hAnsi="Arial"/>
          <w:sz w:val="20"/>
          <w:szCs w:val="20"/>
          <w:b w:val="1"/>
          <w:bCs w:val="1"/>
          <w:i w:val="1"/>
          <w:iCs w:val="1"/>
          <w:color w:val="auto"/>
        </w:rPr>
        <w:t>Remedial Liabilities - Refer to Note 2, "Significant Accounting Policies", and Note 11, "Remedial Liabilities", to the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 Description</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Remedial liabilities include the costs of removal or containment of contaminated material, the treatment of potentially contaminated groundwater and maintenance and monitoring costs necessary to comply with regulatory requirements. The estimate of remedial liabilities involves an analysis of numerous factors that are inherently difficult to estimate and involve a significant amount of judgment. The Company routinely reviews and evaluates the sites for which remedial liabilities have been recognized to determine if there should be changes in the cost estimates. As a result, the valuation of liabilities is subject to material changes as additional information becomes available, particularly as it relates to changes in technologies and changes in laws and regulations that govern the remediation efforts.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Total remedial liabilities recorded as of December 31, 2024 were $111.7 million.</w:t>
      </w:r>
    </w:p>
    <w:p>
      <w:pPr>
        <w:spacing w:after="0" w:line="164"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Given the subjectivity and judgment involved in measuring remedial liabilities, auditing remedial liabilities involved especially subjective judgment and an increased extent of effort, including the need to involve our specialists who have expertise in environmental remediation.</w:t>
      </w:r>
    </w:p>
    <w:p>
      <w:pPr>
        <w:sectPr>
          <w:pgSz w:w="11880" w:h="15480" w:orient="portrait"/>
          <w:cols w:equalWidth="0" w:num="1">
            <w:col w:w="10100"/>
          </w:cols>
          <w:pgMar w:left="880" w:top="56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880" w:h="15480" w:orient="portrait"/>
          <w:cols w:equalWidth="0" w:num="1">
            <w:col w:w="10100"/>
          </w:cols>
          <w:pgMar w:left="880" w:top="568" w:right="90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i w:val="1"/>
          <w:iCs w:val="1"/>
          <w:color w:val="auto"/>
        </w:rPr>
        <w:t>How the Critical Audit Matter Was Addressed in the Audit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Our audit procedures related to remedial liabilities included the following, among others:</w:t>
      </w:r>
    </w:p>
    <w:p>
      <w:pPr>
        <w:spacing w:after="0" w:line="164" w:lineRule="exact"/>
        <w:rPr>
          <w:sz w:val="20"/>
          <w:szCs w:val="20"/>
          <w:color w:val="auto"/>
        </w:rPr>
      </w:pPr>
    </w:p>
    <w:p>
      <w:pPr>
        <w:ind w:left="1080" w:right="760" w:hanging="364"/>
        <w:spacing w:after="0" w:line="276" w:lineRule="auto"/>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tested the effectiveness of controls related to the recognition and measurement of remedial liabilities, including those controls over changes in estimates.</w:t>
      </w:r>
    </w:p>
    <w:p>
      <w:pPr>
        <w:spacing w:after="0" w:line="101" w:lineRule="exact"/>
        <w:rPr>
          <w:rFonts w:ascii="Arial" w:cs="Arial" w:eastAsia="Arial" w:hAnsi="Arial"/>
          <w:sz w:val="20"/>
          <w:szCs w:val="20"/>
          <w:color w:val="auto"/>
        </w:rPr>
      </w:pPr>
    </w:p>
    <w:p>
      <w:pPr>
        <w:jc w:val="both"/>
        <w:ind w:left="1080" w:hanging="364"/>
        <w:spacing w:after="0" w:line="261" w:lineRule="auto"/>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evaluated the methods and assumptions used by management to estimate the remedial liabilities by confirming specific facts and circumstances related to a selection of sites with project managers and other Company personnel responsible for monitoring these sites, including legal counsel.</w:t>
      </w:r>
    </w:p>
    <w:p>
      <w:pPr>
        <w:spacing w:after="0" w:line="116" w:lineRule="exact"/>
        <w:rPr>
          <w:rFonts w:ascii="Arial" w:cs="Arial" w:eastAsia="Arial" w:hAnsi="Arial"/>
          <w:sz w:val="20"/>
          <w:szCs w:val="20"/>
          <w:color w:val="auto"/>
        </w:rPr>
      </w:pPr>
    </w:p>
    <w:p>
      <w:pPr>
        <w:ind w:left="1080" w:right="200" w:hanging="364"/>
        <w:spacing w:after="0" w:line="276" w:lineRule="auto"/>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With the assistance of auditor specialists who have expertise in environmental matters and specialized skills and training, we evaluated the reasonableness of the Company’s estimates by:</w:t>
      </w:r>
    </w:p>
    <w:p>
      <w:pPr>
        <w:spacing w:after="0" w:line="101" w:lineRule="exact"/>
        <w:rPr>
          <w:rFonts w:ascii="Arial" w:cs="Arial" w:eastAsia="Arial" w:hAnsi="Arial"/>
          <w:sz w:val="20"/>
          <w:szCs w:val="20"/>
          <w:color w:val="auto"/>
        </w:rPr>
      </w:pPr>
    </w:p>
    <w:p>
      <w:pPr>
        <w:ind w:left="1080"/>
        <w:spacing w:after="0"/>
        <w:rPr>
          <w:rFonts w:ascii="Arial" w:cs="Arial" w:eastAsia="Arial" w:hAnsi="Arial"/>
          <w:sz w:val="20"/>
          <w:szCs w:val="20"/>
          <w:color w:val="auto"/>
        </w:rPr>
      </w:pPr>
      <w:r>
        <w:rPr>
          <w:rFonts w:ascii="Arial" w:cs="Arial" w:eastAsia="Arial" w:hAnsi="Arial"/>
          <w:sz w:val="20"/>
          <w:szCs w:val="20"/>
          <w:color w:val="auto"/>
        </w:rPr>
        <w:t>–   Searching for information in the public domain for completeness of sites identified for remediation.</w:t>
      </w:r>
    </w:p>
    <w:p>
      <w:pPr>
        <w:spacing w:after="0" w:line="164" w:lineRule="exact"/>
        <w:rPr>
          <w:rFonts w:ascii="Arial" w:cs="Arial" w:eastAsia="Arial" w:hAnsi="Arial"/>
          <w:sz w:val="20"/>
          <w:szCs w:val="20"/>
          <w:color w:val="auto"/>
        </w:rPr>
      </w:pPr>
    </w:p>
    <w:p>
      <w:pPr>
        <w:ind w:left="1420" w:right="160" w:hanging="355"/>
        <w:spacing w:after="0" w:line="276" w:lineRule="auto"/>
        <w:rPr>
          <w:rFonts w:ascii="Arial" w:cs="Arial" w:eastAsia="Arial" w:hAnsi="Arial"/>
          <w:sz w:val="20"/>
          <w:szCs w:val="20"/>
          <w:color w:val="auto"/>
        </w:rPr>
      </w:pPr>
      <w:r>
        <w:rPr>
          <w:rFonts w:ascii="Arial" w:cs="Arial" w:eastAsia="Arial" w:hAnsi="Arial"/>
          <w:sz w:val="20"/>
          <w:szCs w:val="20"/>
          <w:color w:val="auto"/>
        </w:rPr>
        <w:t>– Assessing the completeness of the Company’s cost estimates for a selection of sites, specifically, comparing the cost estimates to relevant regulatory guidelines and specifications.</w:t>
      </w:r>
    </w:p>
    <w:p>
      <w:pPr>
        <w:spacing w:after="0" w:line="101" w:lineRule="exact"/>
        <w:rPr>
          <w:rFonts w:ascii="Arial" w:cs="Arial" w:eastAsia="Arial" w:hAnsi="Arial"/>
          <w:sz w:val="20"/>
          <w:szCs w:val="20"/>
          <w:color w:val="auto"/>
        </w:rPr>
      </w:pPr>
    </w:p>
    <w:p>
      <w:pPr>
        <w:ind w:left="1420" w:right="80" w:hanging="355"/>
        <w:spacing w:after="0" w:line="261" w:lineRule="auto"/>
        <w:rPr>
          <w:rFonts w:ascii="Arial" w:cs="Arial" w:eastAsia="Arial" w:hAnsi="Arial"/>
          <w:sz w:val="20"/>
          <w:szCs w:val="20"/>
          <w:color w:val="auto"/>
        </w:rPr>
      </w:pPr>
      <w:r>
        <w:rPr>
          <w:rFonts w:ascii="Arial" w:cs="Arial" w:eastAsia="Arial" w:hAnsi="Arial"/>
          <w:sz w:val="20"/>
          <w:szCs w:val="20"/>
          <w:color w:val="auto"/>
        </w:rPr>
        <w:t>– Testing the accuracy of the amounts recorded for a selection of sites, specifically, verifying the mathematical accuracy of the calculation, agreeing cost components to supporting documents, and/or developing an independent range of cost estimates.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February 19, 2025</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2005.</w:t>
      </w:r>
    </w:p>
    <w:p>
      <w:pPr>
        <w:sectPr>
          <w:pgSz w:w="11880" w:h="15480" w:orient="portrait"/>
          <w:cols w:equalWidth="0" w:num="1">
            <w:col w:w="10100"/>
          </w:cols>
          <w:pgMar w:left="880" w:top="57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880" w:h="15480" w:orient="portrait"/>
          <w:cols w:equalWidth="0" w:num="1">
            <w:col w:w="10100"/>
          </w:cols>
          <w:pgMar w:left="880" w:top="572" w:right="900" w:bottom="0" w:gutter="0" w:footer="0" w:header="0"/>
          <w:type w:val="continuous"/>
        </w:sectPr>
      </w:pPr>
    </w:p>
    <w:bookmarkStart w:id="58" w:name="page59"/>
    <w:bookmarkEnd w:id="58"/>
    <w:p>
      <w:pPr>
        <w:ind w:left="2980"/>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31"/>
        </w:trPr>
        <w:tc>
          <w:tcPr>
            <w:tcW w:w="784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41"/>
        </w:trPr>
        <w:tc>
          <w:tcPr>
            <w:tcW w:w="784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ASSETS</w:t>
            </w: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840" w:type="dxa"/>
            <w:vAlign w:val="bottom"/>
          </w:tcPr>
          <w:p>
            <w:pPr>
              <w:ind w:left="60"/>
              <w:spacing w:after="0"/>
              <w:rPr>
                <w:sz w:val="20"/>
                <w:szCs w:val="20"/>
                <w:color w:val="auto"/>
              </w:rPr>
            </w:pPr>
            <w:r>
              <w:rPr>
                <w:rFonts w:ascii="Arial" w:cs="Arial" w:eastAsia="Arial" w:hAnsi="Arial"/>
                <w:sz w:val="20"/>
                <w:szCs w:val="20"/>
                <w:b w:val="1"/>
                <w:bCs w:val="1"/>
                <w:color w:val="auto"/>
              </w:rPr>
              <w:t>Current assets: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180"/>
              <w:spacing w:after="0"/>
              <w:rPr>
                <w:sz w:val="20"/>
                <w:szCs w:val="20"/>
                <w:color w:val="auto"/>
              </w:rPr>
            </w:pPr>
            <w:r>
              <w:rPr>
                <w:rFonts w:ascii="Arial" w:cs="Arial" w:eastAsia="Arial" w:hAnsi="Arial"/>
                <w:sz w:val="20"/>
                <w:szCs w:val="20"/>
                <w:color w:val="auto"/>
              </w:rPr>
              <w:t>Cash and cash equivalents</w:t>
            </w:r>
          </w:p>
        </w:tc>
        <w:tc>
          <w:tcPr>
            <w:tcW w:w="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687,192</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444,698</w:t>
            </w:r>
          </w:p>
        </w:tc>
        <w:tc>
          <w:tcPr>
            <w:tcW w:w="0" w:type="dxa"/>
            <w:vAlign w:val="bottom"/>
          </w:tcPr>
          <w:p>
            <w:pPr>
              <w:spacing w:after="0"/>
              <w:rPr>
                <w:sz w:val="1"/>
                <w:szCs w:val="1"/>
                <w:color w:val="auto"/>
              </w:rPr>
            </w:pPr>
          </w:p>
        </w:tc>
      </w:tr>
      <w:tr>
        <w:trPr>
          <w:trHeight w:val="251"/>
        </w:trPr>
        <w:tc>
          <w:tcPr>
            <w:tcW w:w="7840" w:type="dxa"/>
            <w:vAlign w:val="bottom"/>
          </w:tcPr>
          <w:p>
            <w:pPr>
              <w:ind w:left="180"/>
              <w:spacing w:after="0"/>
              <w:rPr>
                <w:sz w:val="20"/>
                <w:szCs w:val="20"/>
                <w:color w:val="auto"/>
              </w:rPr>
            </w:pPr>
            <w:r>
              <w:rPr>
                <w:rFonts w:ascii="Arial" w:cs="Arial" w:eastAsia="Arial" w:hAnsi="Arial"/>
                <w:sz w:val="20"/>
                <w:szCs w:val="20"/>
                <w:color w:val="auto"/>
              </w:rPr>
              <w:t>Short-term marketable securities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102,634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106,101</w:t>
            </w: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9"/>
              </w:rPr>
              <w:t>Accounts receivable, net of allowances aggregating $47,242 and $42,209, respectively</w:t>
            </w: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1,015,357</w:t>
            </w: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983,111</w:t>
            </w:r>
          </w:p>
        </w:tc>
        <w:tc>
          <w:tcPr>
            <w:tcW w:w="0" w:type="dxa"/>
            <w:vAlign w:val="bottom"/>
          </w:tcPr>
          <w:p>
            <w:pPr>
              <w:spacing w:after="0"/>
              <w:rPr>
                <w:sz w:val="1"/>
                <w:szCs w:val="1"/>
                <w:color w:val="auto"/>
              </w:rPr>
            </w:pPr>
          </w:p>
        </w:tc>
      </w:tr>
      <w:tr>
        <w:trPr>
          <w:trHeight w:val="251"/>
        </w:trPr>
        <w:tc>
          <w:tcPr>
            <w:tcW w:w="7840" w:type="dxa"/>
            <w:vAlign w:val="bottom"/>
          </w:tcPr>
          <w:p>
            <w:pPr>
              <w:ind w:left="180"/>
              <w:spacing w:after="0"/>
              <w:rPr>
                <w:sz w:val="20"/>
                <w:szCs w:val="20"/>
                <w:color w:val="auto"/>
              </w:rPr>
            </w:pPr>
            <w:r>
              <w:rPr>
                <w:rFonts w:ascii="Arial" w:cs="Arial" w:eastAsia="Arial" w:hAnsi="Arial"/>
                <w:sz w:val="20"/>
                <w:szCs w:val="20"/>
                <w:color w:val="auto"/>
              </w:rPr>
              <w:t>Unbilled accounts receivable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162,215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107,859</w:t>
            </w: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180"/>
              <w:spacing w:after="0"/>
              <w:rPr>
                <w:sz w:val="20"/>
                <w:szCs w:val="20"/>
                <w:color w:val="auto"/>
              </w:rPr>
            </w:pPr>
            <w:r>
              <w:rPr>
                <w:rFonts w:ascii="Arial" w:cs="Arial" w:eastAsia="Arial" w:hAnsi="Arial"/>
                <w:sz w:val="20"/>
                <w:szCs w:val="20"/>
                <w:color w:val="auto"/>
              </w:rPr>
              <w:t>Inventories and supplies</w:t>
            </w: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384,657</w:t>
            </w: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327,511</w:t>
            </w:r>
          </w:p>
        </w:tc>
        <w:tc>
          <w:tcPr>
            <w:tcW w:w="0" w:type="dxa"/>
            <w:vAlign w:val="bottom"/>
          </w:tcPr>
          <w:p>
            <w:pPr>
              <w:spacing w:after="0"/>
              <w:rPr>
                <w:sz w:val="1"/>
                <w:szCs w:val="1"/>
                <w:color w:val="auto"/>
              </w:rPr>
            </w:pPr>
          </w:p>
        </w:tc>
      </w:tr>
      <w:tr>
        <w:trPr>
          <w:trHeight w:val="241"/>
        </w:trPr>
        <w:tc>
          <w:tcPr>
            <w:tcW w:w="784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Prepaid expenses and other current assets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81,741</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82,939</w:t>
            </w:r>
          </w:p>
        </w:tc>
        <w:tc>
          <w:tcPr>
            <w:tcW w:w="0" w:type="dxa"/>
            <w:vAlign w:val="bottom"/>
          </w:tcPr>
          <w:p>
            <w:pPr>
              <w:spacing w:after="0"/>
              <w:rPr>
                <w:sz w:val="1"/>
                <w:szCs w:val="1"/>
                <w:color w:val="auto"/>
              </w:rPr>
            </w:pPr>
          </w:p>
        </w:tc>
      </w:tr>
      <w:tr>
        <w:trPr>
          <w:trHeight w:val="251"/>
        </w:trPr>
        <w:tc>
          <w:tcPr>
            <w:tcW w:w="784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Total current assets</w:t>
            </w:r>
          </w:p>
        </w:tc>
        <w:tc>
          <w:tcPr>
            <w:tcW w:w="180" w:type="dxa"/>
            <w:vAlign w:val="bottom"/>
            <w:tcBorders>
              <w:bottom w:val="single" w:sz="8" w:color="auto"/>
            </w:tcBorders>
            <w:shd w:val="clear" w:color="auto" w:fill="E6E6E6"/>
          </w:tcPr>
          <w:p>
            <w:pPr>
              <w:spacing w:after="0"/>
              <w:rPr>
                <w:sz w:val="21"/>
                <w:szCs w:val="21"/>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2,433,796</w:t>
            </w:r>
          </w:p>
        </w:tc>
        <w:tc>
          <w:tcPr>
            <w:tcW w:w="8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auto"/>
            </w:tcBorders>
            <w:shd w:val="clear" w:color="auto" w:fill="E6E6E6"/>
          </w:tcPr>
          <w:p>
            <w:pPr>
              <w:spacing w:after="0"/>
              <w:rPr>
                <w:sz w:val="21"/>
                <w:szCs w:val="21"/>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2,052,219</w:t>
            </w:r>
          </w:p>
        </w:tc>
        <w:tc>
          <w:tcPr>
            <w:tcW w:w="0" w:type="dxa"/>
            <w:vAlign w:val="bottom"/>
          </w:tcPr>
          <w:p>
            <w:pPr>
              <w:spacing w:after="0"/>
              <w:rPr>
                <w:sz w:val="1"/>
                <w:szCs w:val="1"/>
                <w:color w:val="auto"/>
              </w:rPr>
            </w:pPr>
          </w:p>
        </w:tc>
      </w:tr>
      <w:tr>
        <w:trPr>
          <w:trHeight w:val="211"/>
        </w:trPr>
        <w:tc>
          <w:tcPr>
            <w:tcW w:w="7840" w:type="dxa"/>
            <w:vAlign w:val="bottom"/>
            <w:tcBorders>
              <w:bottom w:val="single" w:sz="8" w:color="E6E6E6"/>
            </w:tcBorders>
          </w:tcPr>
          <w:p>
            <w:pPr>
              <w:ind w:left="60"/>
              <w:spacing w:after="0" w:line="211" w:lineRule="exact"/>
              <w:rPr>
                <w:sz w:val="20"/>
                <w:szCs w:val="20"/>
                <w:color w:val="auto"/>
              </w:rPr>
            </w:pPr>
            <w:r>
              <w:rPr>
                <w:rFonts w:ascii="Arial" w:cs="Arial" w:eastAsia="Arial" w:hAnsi="Arial"/>
                <w:sz w:val="20"/>
                <w:szCs w:val="20"/>
                <w:color w:val="auto"/>
              </w:rPr>
              <w:t>Property, plant and equipment, net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1" w:lineRule="exact"/>
              <w:rPr>
                <w:sz w:val="20"/>
                <w:szCs w:val="20"/>
                <w:color w:val="auto"/>
              </w:rPr>
            </w:pPr>
            <w:r>
              <w:rPr>
                <w:rFonts w:ascii="Arial" w:cs="Arial" w:eastAsia="Arial" w:hAnsi="Arial"/>
                <w:sz w:val="20"/>
                <w:szCs w:val="20"/>
                <w:color w:val="auto"/>
                <w:w w:val="89"/>
              </w:rPr>
              <w:t>2,447,941</w:t>
            </w:r>
          </w:p>
        </w:tc>
        <w:tc>
          <w:tcPr>
            <w:tcW w:w="8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1" w:lineRule="exact"/>
              <w:rPr>
                <w:sz w:val="20"/>
                <w:szCs w:val="20"/>
                <w:color w:val="auto"/>
              </w:rPr>
            </w:pPr>
            <w:r>
              <w:rPr>
                <w:rFonts w:ascii="Arial" w:cs="Arial" w:eastAsia="Arial" w:hAnsi="Arial"/>
                <w:sz w:val="20"/>
                <w:szCs w:val="20"/>
                <w:color w:val="auto"/>
                <w:w w:val="89"/>
              </w:rPr>
              <w:t>2,193,318</w:t>
            </w:r>
          </w:p>
        </w:tc>
        <w:tc>
          <w:tcPr>
            <w:tcW w:w="0" w:type="dxa"/>
            <w:vAlign w:val="bottom"/>
          </w:tcPr>
          <w:p>
            <w:pPr>
              <w:spacing w:after="0"/>
              <w:rPr>
                <w:sz w:val="1"/>
                <w:szCs w:val="1"/>
                <w:color w:val="auto"/>
              </w:rPr>
            </w:pPr>
          </w:p>
        </w:tc>
      </w:tr>
      <w:tr>
        <w:trPr>
          <w:trHeight w:val="241"/>
        </w:trPr>
        <w:tc>
          <w:tcPr>
            <w:tcW w:w="784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Other assets:</w:t>
            </w: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840" w:type="dxa"/>
            <w:vAlign w:val="bottom"/>
          </w:tcPr>
          <w:p>
            <w:pPr>
              <w:ind w:left="180"/>
              <w:spacing w:after="0"/>
              <w:rPr>
                <w:sz w:val="20"/>
                <w:szCs w:val="20"/>
                <w:color w:val="auto"/>
              </w:rPr>
            </w:pPr>
            <w:r>
              <w:rPr>
                <w:rFonts w:ascii="Arial" w:cs="Arial" w:eastAsia="Arial" w:hAnsi="Arial"/>
                <w:sz w:val="20"/>
                <w:szCs w:val="20"/>
                <w:color w:val="auto"/>
              </w:rPr>
              <w:t>Operating lease right-of-use assets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250,853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187,060</w:t>
            </w: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180"/>
              <w:spacing w:after="0"/>
              <w:rPr>
                <w:sz w:val="20"/>
                <w:szCs w:val="20"/>
                <w:color w:val="auto"/>
              </w:rPr>
            </w:pPr>
            <w:r>
              <w:rPr>
                <w:rFonts w:ascii="Arial" w:cs="Arial" w:eastAsia="Arial" w:hAnsi="Arial"/>
                <w:sz w:val="20"/>
                <w:szCs w:val="20"/>
                <w:color w:val="auto"/>
              </w:rPr>
              <w:t>Goodwill</w:t>
            </w: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1,477,199</w:t>
            </w: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1,287,736</w:t>
            </w:r>
          </w:p>
        </w:tc>
        <w:tc>
          <w:tcPr>
            <w:tcW w:w="0" w:type="dxa"/>
            <w:vAlign w:val="bottom"/>
          </w:tcPr>
          <w:p>
            <w:pPr>
              <w:spacing w:after="0"/>
              <w:rPr>
                <w:sz w:val="1"/>
                <w:szCs w:val="1"/>
                <w:color w:val="auto"/>
              </w:rPr>
            </w:pPr>
          </w:p>
        </w:tc>
      </w:tr>
      <w:tr>
        <w:trPr>
          <w:trHeight w:val="251"/>
        </w:trPr>
        <w:tc>
          <w:tcPr>
            <w:tcW w:w="7840" w:type="dxa"/>
            <w:vAlign w:val="bottom"/>
          </w:tcPr>
          <w:p>
            <w:pPr>
              <w:ind w:left="180"/>
              <w:spacing w:after="0"/>
              <w:rPr>
                <w:sz w:val="20"/>
                <w:szCs w:val="20"/>
                <w:color w:val="auto"/>
              </w:rPr>
            </w:pPr>
            <w:r>
              <w:rPr>
                <w:rFonts w:ascii="Arial" w:cs="Arial" w:eastAsia="Arial" w:hAnsi="Arial"/>
                <w:sz w:val="20"/>
                <w:szCs w:val="20"/>
                <w:color w:val="auto"/>
              </w:rPr>
              <w:t>Permits and other intangibles, net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701,987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602,797</w:t>
            </w:r>
          </w:p>
        </w:tc>
        <w:tc>
          <w:tcPr>
            <w:tcW w:w="0" w:type="dxa"/>
            <w:vAlign w:val="bottom"/>
          </w:tcPr>
          <w:p>
            <w:pPr>
              <w:spacing w:after="0"/>
              <w:rPr>
                <w:sz w:val="1"/>
                <w:szCs w:val="1"/>
                <w:color w:val="auto"/>
              </w:rPr>
            </w:pPr>
          </w:p>
        </w:tc>
      </w:tr>
      <w:tr>
        <w:trPr>
          <w:trHeight w:val="261"/>
        </w:trPr>
        <w:tc>
          <w:tcPr>
            <w:tcW w:w="784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Other long-term assets</w:t>
            </w:r>
          </w:p>
        </w:tc>
        <w:tc>
          <w:tcPr>
            <w:tcW w:w="180" w:type="dxa"/>
            <w:vAlign w:val="bottom"/>
            <w:tcBorders>
              <w:bottom w:val="single" w:sz="8" w:color="auto"/>
            </w:tcBorders>
            <w:shd w:val="clear" w:color="auto" w:fill="E6E6E6"/>
          </w:tcPr>
          <w:p>
            <w:pPr>
              <w:spacing w:after="0"/>
              <w:rPr>
                <w:sz w:val="22"/>
                <w:szCs w:val="22"/>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65,502</w:t>
            </w:r>
          </w:p>
        </w:tc>
        <w:tc>
          <w:tcPr>
            <w:tcW w:w="8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auto"/>
            </w:tcBorders>
            <w:shd w:val="clear" w:color="auto" w:fill="E6E6E6"/>
          </w:tcPr>
          <w:p>
            <w:pPr>
              <w:spacing w:after="0"/>
              <w:rPr>
                <w:sz w:val="22"/>
                <w:szCs w:val="22"/>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59,739</w:t>
            </w:r>
          </w:p>
        </w:tc>
        <w:tc>
          <w:tcPr>
            <w:tcW w:w="0" w:type="dxa"/>
            <w:vAlign w:val="bottom"/>
          </w:tcPr>
          <w:p>
            <w:pPr>
              <w:spacing w:after="0"/>
              <w:rPr>
                <w:sz w:val="1"/>
                <w:szCs w:val="1"/>
                <w:color w:val="auto"/>
              </w:rPr>
            </w:pPr>
          </w:p>
        </w:tc>
      </w:tr>
      <w:tr>
        <w:trPr>
          <w:trHeight w:val="211"/>
        </w:trPr>
        <w:tc>
          <w:tcPr>
            <w:tcW w:w="7840" w:type="dxa"/>
            <w:vAlign w:val="bottom"/>
            <w:tcBorders>
              <w:bottom w:val="single" w:sz="8" w:color="E6E6E6"/>
            </w:tcBorders>
          </w:tcPr>
          <w:p>
            <w:pPr>
              <w:ind w:left="280"/>
              <w:spacing w:after="0" w:line="211" w:lineRule="exact"/>
              <w:rPr>
                <w:sz w:val="20"/>
                <w:szCs w:val="20"/>
                <w:color w:val="auto"/>
              </w:rPr>
            </w:pPr>
            <w:r>
              <w:rPr>
                <w:rFonts w:ascii="Arial" w:cs="Arial" w:eastAsia="Arial" w:hAnsi="Arial"/>
                <w:sz w:val="20"/>
                <w:szCs w:val="20"/>
                <w:color w:val="auto"/>
              </w:rPr>
              <w:t>Total other assets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1" w:lineRule="exact"/>
              <w:rPr>
                <w:sz w:val="20"/>
                <w:szCs w:val="20"/>
                <w:color w:val="auto"/>
              </w:rPr>
            </w:pPr>
            <w:r>
              <w:rPr>
                <w:rFonts w:ascii="Arial" w:cs="Arial" w:eastAsia="Arial" w:hAnsi="Arial"/>
                <w:sz w:val="20"/>
                <w:szCs w:val="20"/>
                <w:color w:val="auto"/>
                <w:w w:val="89"/>
              </w:rPr>
              <w:t>2,495,541</w:t>
            </w:r>
          </w:p>
        </w:tc>
        <w:tc>
          <w:tcPr>
            <w:tcW w:w="8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1" w:lineRule="exact"/>
              <w:rPr>
                <w:sz w:val="20"/>
                <w:szCs w:val="20"/>
                <w:color w:val="auto"/>
              </w:rPr>
            </w:pPr>
            <w:r>
              <w:rPr>
                <w:rFonts w:ascii="Arial" w:cs="Arial" w:eastAsia="Arial" w:hAnsi="Arial"/>
                <w:sz w:val="20"/>
                <w:szCs w:val="20"/>
                <w:color w:val="auto"/>
                <w:w w:val="89"/>
              </w:rPr>
              <w:t>2,137,332</w:t>
            </w:r>
          </w:p>
        </w:tc>
        <w:tc>
          <w:tcPr>
            <w:tcW w:w="0" w:type="dxa"/>
            <w:vAlign w:val="bottom"/>
          </w:tcPr>
          <w:p>
            <w:pPr>
              <w:spacing w:after="0"/>
              <w:rPr>
                <w:sz w:val="1"/>
                <w:szCs w:val="1"/>
                <w:color w:val="auto"/>
              </w:rPr>
            </w:pPr>
          </w:p>
        </w:tc>
      </w:tr>
      <w:tr>
        <w:trPr>
          <w:trHeight w:val="251"/>
        </w:trPr>
        <w:tc>
          <w:tcPr>
            <w:tcW w:w="7840" w:type="dxa"/>
            <w:vAlign w:val="bottom"/>
            <w:tcBorders>
              <w:bottom w:val="single" w:sz="8" w:color="E6E6E6"/>
            </w:tcBorders>
            <w:shd w:val="clear" w:color="auto" w:fill="E6E6E6"/>
          </w:tcPr>
          <w:p>
            <w:pPr>
              <w:ind w:left="280"/>
              <w:spacing w:after="0" w:line="211" w:lineRule="exact"/>
              <w:rPr>
                <w:sz w:val="20"/>
                <w:szCs w:val="20"/>
                <w:color w:val="auto"/>
              </w:rPr>
            </w:pPr>
            <w:r>
              <w:rPr>
                <w:rFonts w:ascii="Arial" w:cs="Arial" w:eastAsia="Arial" w:hAnsi="Arial"/>
                <w:sz w:val="20"/>
                <w:szCs w:val="20"/>
                <w:color w:val="auto"/>
              </w:rPr>
              <w:t>Total assets</w:t>
            </w:r>
          </w:p>
        </w:tc>
        <w:tc>
          <w:tcPr>
            <w:tcW w:w="180" w:type="dxa"/>
            <w:vAlign w:val="bottom"/>
            <w:tcBorders>
              <w:bottom w:val="single" w:sz="8" w:color="auto"/>
            </w:tcBorders>
            <w:shd w:val="clear" w:color="auto" w:fill="E6E6E6"/>
          </w:tcPr>
          <w:p>
            <w:pPr>
              <w:jc w:val="right"/>
              <w:spacing w:after="0" w:line="211"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E6E6E6"/>
          </w:tcPr>
          <w:p>
            <w:pPr>
              <w:jc w:val="right"/>
              <w:spacing w:after="0" w:line="211" w:lineRule="exact"/>
              <w:rPr>
                <w:sz w:val="20"/>
                <w:szCs w:val="20"/>
                <w:color w:val="auto"/>
              </w:rPr>
            </w:pPr>
            <w:r>
              <w:rPr>
                <w:rFonts w:ascii="Arial" w:cs="Arial" w:eastAsia="Arial" w:hAnsi="Arial"/>
                <w:sz w:val="20"/>
                <w:szCs w:val="20"/>
                <w:color w:val="auto"/>
                <w:w w:val="89"/>
              </w:rPr>
              <w:t>7,377,278</w:t>
            </w:r>
          </w:p>
        </w:tc>
        <w:tc>
          <w:tcPr>
            <w:tcW w:w="8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auto"/>
            </w:tcBorders>
            <w:shd w:val="clear" w:color="auto" w:fill="E6E6E6"/>
          </w:tcPr>
          <w:p>
            <w:pPr>
              <w:jc w:val="right"/>
              <w:spacing w:after="0" w:line="211"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E6E6E6"/>
          </w:tcPr>
          <w:p>
            <w:pPr>
              <w:jc w:val="right"/>
              <w:spacing w:after="0" w:line="211" w:lineRule="exact"/>
              <w:rPr>
                <w:sz w:val="20"/>
                <w:szCs w:val="20"/>
                <w:color w:val="auto"/>
              </w:rPr>
            </w:pPr>
            <w:r>
              <w:rPr>
                <w:rFonts w:ascii="Arial" w:cs="Arial" w:eastAsia="Arial" w:hAnsi="Arial"/>
                <w:sz w:val="20"/>
                <w:szCs w:val="20"/>
                <w:color w:val="auto"/>
                <w:w w:val="89"/>
              </w:rPr>
              <w:t>6,382,869</w:t>
            </w:r>
          </w:p>
        </w:tc>
        <w:tc>
          <w:tcPr>
            <w:tcW w:w="0" w:type="dxa"/>
            <w:vAlign w:val="bottom"/>
          </w:tcPr>
          <w:p>
            <w:pPr>
              <w:spacing w:after="0"/>
              <w:rPr>
                <w:sz w:val="1"/>
                <w:szCs w:val="1"/>
                <w:color w:val="auto"/>
              </w:rPr>
            </w:pPr>
          </w:p>
        </w:tc>
      </w:tr>
      <w:tr>
        <w:trPr>
          <w:trHeight w:val="222"/>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LIABILITIES AND STOCKHOLDERS' EQUITY</w:t>
            </w: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40" w:type="dxa"/>
            <w:vAlign w:val="bottom"/>
          </w:tcPr>
          <w:p>
            <w:pPr>
              <w:ind w:left="60"/>
              <w:spacing w:after="0"/>
              <w:rPr>
                <w:sz w:val="20"/>
                <w:szCs w:val="20"/>
                <w:color w:val="auto"/>
              </w:rPr>
            </w:pPr>
            <w:r>
              <w:rPr>
                <w:rFonts w:ascii="Arial" w:cs="Arial" w:eastAsia="Arial" w:hAnsi="Arial"/>
                <w:sz w:val="20"/>
                <w:szCs w:val="20"/>
                <w:b w:val="1"/>
                <w:bCs w:val="1"/>
                <w:color w:val="auto"/>
              </w:rPr>
              <w:t>Current liabilities: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140"/>
              <w:spacing w:after="0"/>
              <w:rPr>
                <w:sz w:val="20"/>
                <w:szCs w:val="20"/>
                <w:color w:val="auto"/>
              </w:rPr>
            </w:pPr>
            <w:r>
              <w:rPr>
                <w:rFonts w:ascii="Arial" w:cs="Arial" w:eastAsia="Arial" w:hAnsi="Arial"/>
                <w:sz w:val="20"/>
                <w:szCs w:val="20"/>
                <w:color w:val="auto"/>
              </w:rPr>
              <w:t>Current portion of long-term debt</w:t>
            </w:r>
          </w:p>
        </w:tc>
        <w:tc>
          <w:tcPr>
            <w:tcW w:w="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15,102</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r>
        <w:trPr>
          <w:trHeight w:val="251"/>
        </w:trPr>
        <w:tc>
          <w:tcPr>
            <w:tcW w:w="7840" w:type="dxa"/>
            <w:vAlign w:val="bottom"/>
          </w:tcPr>
          <w:p>
            <w:pPr>
              <w:ind w:left="140"/>
              <w:spacing w:after="0"/>
              <w:rPr>
                <w:sz w:val="20"/>
                <w:szCs w:val="20"/>
                <w:color w:val="auto"/>
              </w:rPr>
            </w:pPr>
            <w:r>
              <w:rPr>
                <w:rFonts w:ascii="Arial" w:cs="Arial" w:eastAsia="Arial" w:hAnsi="Arial"/>
                <w:sz w:val="20"/>
                <w:szCs w:val="20"/>
                <w:color w:val="auto"/>
              </w:rPr>
              <w:t>Accounts payable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487,286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451,806</w:t>
            </w: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140"/>
              <w:spacing w:after="0"/>
              <w:rPr>
                <w:sz w:val="20"/>
                <w:szCs w:val="20"/>
                <w:color w:val="auto"/>
              </w:rPr>
            </w:pPr>
            <w:r>
              <w:rPr>
                <w:rFonts w:ascii="Arial" w:cs="Arial" w:eastAsia="Arial" w:hAnsi="Arial"/>
                <w:sz w:val="20"/>
                <w:szCs w:val="20"/>
                <w:color w:val="auto"/>
              </w:rPr>
              <w:t>Deferred revenue</w:t>
            </w: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88,545</w:t>
            </w: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95,230</w:t>
            </w:r>
          </w:p>
        </w:tc>
        <w:tc>
          <w:tcPr>
            <w:tcW w:w="0" w:type="dxa"/>
            <w:vAlign w:val="bottom"/>
          </w:tcPr>
          <w:p>
            <w:pPr>
              <w:spacing w:after="0"/>
              <w:rPr>
                <w:sz w:val="1"/>
                <w:szCs w:val="1"/>
                <w:color w:val="auto"/>
              </w:rPr>
            </w:pPr>
          </w:p>
        </w:tc>
      </w:tr>
      <w:tr>
        <w:trPr>
          <w:trHeight w:val="251"/>
        </w:trPr>
        <w:tc>
          <w:tcPr>
            <w:tcW w:w="7840" w:type="dxa"/>
            <w:vAlign w:val="bottom"/>
          </w:tcPr>
          <w:p>
            <w:pPr>
              <w:ind w:left="140"/>
              <w:spacing w:after="0"/>
              <w:rPr>
                <w:sz w:val="20"/>
                <w:szCs w:val="20"/>
                <w:color w:val="auto"/>
              </w:rPr>
            </w:pPr>
            <w:r>
              <w:rPr>
                <w:rFonts w:ascii="Arial" w:cs="Arial" w:eastAsia="Arial" w:hAnsi="Arial"/>
                <w:sz w:val="20"/>
                <w:szCs w:val="20"/>
                <w:color w:val="auto"/>
              </w:rPr>
              <w:t>Accrued expenses and other current liabilities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419,445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397,157</w:t>
            </w: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140"/>
              <w:spacing w:after="0"/>
              <w:rPr>
                <w:sz w:val="20"/>
                <w:szCs w:val="20"/>
                <w:color w:val="auto"/>
              </w:rPr>
            </w:pPr>
            <w:r>
              <w:rPr>
                <w:rFonts w:ascii="Arial" w:cs="Arial" w:eastAsia="Arial" w:hAnsi="Arial"/>
                <w:sz w:val="20"/>
                <w:szCs w:val="20"/>
                <w:color w:val="auto"/>
              </w:rPr>
              <w:t>Current portion of closure, post-closure and remedial liabilities</w:t>
            </w: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20,625</w:t>
            </w: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26,914</w:t>
            </w:r>
          </w:p>
        </w:tc>
        <w:tc>
          <w:tcPr>
            <w:tcW w:w="0" w:type="dxa"/>
            <w:vAlign w:val="bottom"/>
          </w:tcPr>
          <w:p>
            <w:pPr>
              <w:spacing w:after="0"/>
              <w:rPr>
                <w:sz w:val="1"/>
                <w:szCs w:val="1"/>
                <w:color w:val="auto"/>
              </w:rPr>
            </w:pPr>
          </w:p>
        </w:tc>
      </w:tr>
      <w:tr>
        <w:trPr>
          <w:trHeight w:val="241"/>
        </w:trPr>
        <w:tc>
          <w:tcPr>
            <w:tcW w:w="7840" w:type="dxa"/>
            <w:vAlign w:val="bottom"/>
            <w:tcBorders>
              <w:bottom w:val="single" w:sz="8" w:color="E6E6E6"/>
            </w:tcBorders>
          </w:tcPr>
          <w:p>
            <w:pPr>
              <w:ind w:left="140"/>
              <w:spacing w:after="0"/>
              <w:rPr>
                <w:sz w:val="20"/>
                <w:szCs w:val="20"/>
                <w:color w:val="auto"/>
              </w:rPr>
            </w:pPr>
            <w:r>
              <w:rPr>
                <w:rFonts w:ascii="Arial" w:cs="Arial" w:eastAsia="Arial" w:hAnsi="Arial"/>
                <w:sz w:val="20"/>
                <w:szCs w:val="20"/>
                <w:color w:val="auto"/>
              </w:rPr>
              <w:t>Current portion of operating lease liabilities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71,663</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56,430</w:t>
            </w:r>
          </w:p>
        </w:tc>
        <w:tc>
          <w:tcPr>
            <w:tcW w:w="0" w:type="dxa"/>
            <w:vAlign w:val="bottom"/>
          </w:tcPr>
          <w:p>
            <w:pPr>
              <w:spacing w:after="0"/>
              <w:rPr>
                <w:sz w:val="1"/>
                <w:szCs w:val="1"/>
                <w:color w:val="auto"/>
              </w:rPr>
            </w:pPr>
          </w:p>
        </w:tc>
      </w:tr>
      <w:tr>
        <w:trPr>
          <w:trHeight w:val="251"/>
        </w:trPr>
        <w:tc>
          <w:tcPr>
            <w:tcW w:w="784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Total current liabilities</w:t>
            </w:r>
          </w:p>
        </w:tc>
        <w:tc>
          <w:tcPr>
            <w:tcW w:w="180" w:type="dxa"/>
            <w:vAlign w:val="bottom"/>
            <w:tcBorders>
              <w:bottom w:val="single" w:sz="8" w:color="auto"/>
            </w:tcBorders>
            <w:shd w:val="clear" w:color="auto" w:fill="E6E6E6"/>
          </w:tcPr>
          <w:p>
            <w:pPr>
              <w:spacing w:after="0"/>
              <w:rPr>
                <w:sz w:val="21"/>
                <w:szCs w:val="21"/>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1,102,666</w:t>
            </w:r>
          </w:p>
        </w:tc>
        <w:tc>
          <w:tcPr>
            <w:tcW w:w="8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auto"/>
            </w:tcBorders>
            <w:shd w:val="clear" w:color="auto" w:fill="E6E6E6"/>
          </w:tcPr>
          <w:p>
            <w:pPr>
              <w:spacing w:after="0"/>
              <w:rPr>
                <w:sz w:val="21"/>
                <w:szCs w:val="21"/>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1,037,537</w:t>
            </w:r>
          </w:p>
        </w:tc>
        <w:tc>
          <w:tcPr>
            <w:tcW w:w="0" w:type="dxa"/>
            <w:vAlign w:val="bottom"/>
          </w:tcPr>
          <w:p>
            <w:pPr>
              <w:spacing w:after="0"/>
              <w:rPr>
                <w:sz w:val="1"/>
                <w:szCs w:val="1"/>
                <w:color w:val="auto"/>
              </w:rPr>
            </w:pPr>
          </w:p>
        </w:tc>
      </w:tr>
      <w:tr>
        <w:trPr>
          <w:trHeight w:val="221"/>
        </w:trPr>
        <w:tc>
          <w:tcPr>
            <w:tcW w:w="7840" w:type="dxa"/>
            <w:vAlign w:val="bottom"/>
          </w:tcPr>
          <w:p>
            <w:pPr>
              <w:ind w:left="60"/>
              <w:spacing w:after="0" w:line="221" w:lineRule="exact"/>
              <w:rPr>
                <w:sz w:val="20"/>
                <w:szCs w:val="20"/>
                <w:color w:val="auto"/>
              </w:rPr>
            </w:pPr>
            <w:r>
              <w:rPr>
                <w:rFonts w:ascii="Arial" w:cs="Arial" w:eastAsia="Arial" w:hAnsi="Arial"/>
                <w:sz w:val="20"/>
                <w:szCs w:val="20"/>
                <w:b w:val="1"/>
                <w:bCs w:val="1"/>
                <w:color w:val="auto"/>
              </w:rPr>
              <w:t>Other liabilities: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140"/>
              <w:spacing w:after="0"/>
              <w:rPr>
                <w:sz w:val="20"/>
                <w:szCs w:val="20"/>
                <w:color w:val="auto"/>
              </w:rPr>
            </w:pPr>
            <w:r>
              <w:rPr>
                <w:rFonts w:ascii="Arial" w:cs="Arial" w:eastAsia="Arial" w:hAnsi="Arial"/>
                <w:sz w:val="20"/>
                <w:szCs w:val="20"/>
                <w:color w:val="auto"/>
                <w:w w:val="93"/>
              </w:rPr>
              <w:t>Closure and post-closure liabilities, less current portion of $10,304 and $13,556, respectively</w:t>
            </w: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119,484</w:t>
            </w: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105,044</w:t>
            </w:r>
          </w:p>
        </w:tc>
        <w:tc>
          <w:tcPr>
            <w:tcW w:w="0" w:type="dxa"/>
            <w:vAlign w:val="bottom"/>
          </w:tcPr>
          <w:p>
            <w:pPr>
              <w:spacing w:after="0"/>
              <w:rPr>
                <w:sz w:val="1"/>
                <w:szCs w:val="1"/>
                <w:color w:val="auto"/>
              </w:rPr>
            </w:pPr>
          </w:p>
        </w:tc>
      </w:tr>
      <w:tr>
        <w:trPr>
          <w:trHeight w:val="251"/>
        </w:trPr>
        <w:tc>
          <w:tcPr>
            <w:tcW w:w="7840" w:type="dxa"/>
            <w:vAlign w:val="bottom"/>
          </w:tcPr>
          <w:p>
            <w:pPr>
              <w:ind w:left="140"/>
              <w:spacing w:after="0"/>
              <w:rPr>
                <w:sz w:val="20"/>
                <w:szCs w:val="20"/>
                <w:color w:val="auto"/>
              </w:rPr>
            </w:pPr>
            <w:r>
              <w:rPr>
                <w:rFonts w:ascii="Arial" w:cs="Arial" w:eastAsia="Arial" w:hAnsi="Arial"/>
                <w:sz w:val="20"/>
                <w:szCs w:val="20"/>
                <w:color w:val="auto"/>
              </w:rPr>
              <w:t>Remedial liabilities, less current portion of $10,321 and $13,358, respectively</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101,424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97,885</w:t>
            </w: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140"/>
              <w:spacing w:after="0"/>
              <w:rPr>
                <w:sz w:val="20"/>
                <w:szCs w:val="20"/>
                <w:color w:val="auto"/>
              </w:rPr>
            </w:pPr>
            <w:r>
              <w:rPr>
                <w:rFonts w:ascii="Arial" w:cs="Arial" w:eastAsia="Arial" w:hAnsi="Arial"/>
                <w:sz w:val="20"/>
                <w:szCs w:val="20"/>
                <w:color w:val="auto"/>
              </w:rPr>
              <w:t>Long-term debt, less current portion</w:t>
            </w: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2,771,117</w:t>
            </w: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2,291,717</w:t>
            </w:r>
          </w:p>
        </w:tc>
        <w:tc>
          <w:tcPr>
            <w:tcW w:w="0" w:type="dxa"/>
            <w:vAlign w:val="bottom"/>
          </w:tcPr>
          <w:p>
            <w:pPr>
              <w:spacing w:after="0"/>
              <w:rPr>
                <w:sz w:val="1"/>
                <w:szCs w:val="1"/>
                <w:color w:val="auto"/>
              </w:rPr>
            </w:pPr>
          </w:p>
        </w:tc>
      </w:tr>
      <w:tr>
        <w:trPr>
          <w:trHeight w:val="251"/>
        </w:trPr>
        <w:tc>
          <w:tcPr>
            <w:tcW w:w="7840" w:type="dxa"/>
            <w:vAlign w:val="bottom"/>
          </w:tcPr>
          <w:p>
            <w:pPr>
              <w:ind w:left="140"/>
              <w:spacing w:after="0"/>
              <w:rPr>
                <w:sz w:val="20"/>
                <w:szCs w:val="20"/>
                <w:color w:val="auto"/>
              </w:rPr>
            </w:pPr>
            <w:r>
              <w:rPr>
                <w:rFonts w:ascii="Arial" w:cs="Arial" w:eastAsia="Arial" w:hAnsi="Arial"/>
                <w:sz w:val="20"/>
                <w:szCs w:val="20"/>
                <w:color w:val="auto"/>
              </w:rPr>
              <w:t>Operating lease liabilities, less current portion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182,883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131,743</w:t>
            </w: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140"/>
              <w:spacing w:after="0"/>
              <w:rPr>
                <w:sz w:val="20"/>
                <w:szCs w:val="20"/>
                <w:color w:val="auto"/>
              </w:rPr>
            </w:pPr>
            <w:r>
              <w:rPr>
                <w:rFonts w:ascii="Arial" w:cs="Arial" w:eastAsia="Arial" w:hAnsi="Arial"/>
                <w:sz w:val="20"/>
                <w:szCs w:val="20"/>
                <w:color w:val="auto"/>
              </w:rPr>
              <w:t>Deferred tax liabilities</w:t>
            </w: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363,623</w:t>
            </w: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353,107</w:t>
            </w:r>
          </w:p>
        </w:tc>
        <w:tc>
          <w:tcPr>
            <w:tcW w:w="0" w:type="dxa"/>
            <w:vAlign w:val="bottom"/>
          </w:tcPr>
          <w:p>
            <w:pPr>
              <w:spacing w:after="0"/>
              <w:rPr>
                <w:sz w:val="1"/>
                <w:szCs w:val="1"/>
                <w:color w:val="auto"/>
              </w:rPr>
            </w:pPr>
          </w:p>
        </w:tc>
      </w:tr>
      <w:tr>
        <w:trPr>
          <w:trHeight w:val="241"/>
        </w:trPr>
        <w:tc>
          <w:tcPr>
            <w:tcW w:w="7840" w:type="dxa"/>
            <w:vAlign w:val="bottom"/>
            <w:tcBorders>
              <w:bottom w:val="single" w:sz="8" w:color="E6E6E6"/>
            </w:tcBorders>
          </w:tcPr>
          <w:p>
            <w:pPr>
              <w:ind w:left="140"/>
              <w:spacing w:after="0"/>
              <w:rPr>
                <w:sz w:val="20"/>
                <w:szCs w:val="20"/>
                <w:color w:val="auto"/>
              </w:rPr>
            </w:pPr>
            <w:r>
              <w:rPr>
                <w:rFonts w:ascii="Arial" w:cs="Arial" w:eastAsia="Arial" w:hAnsi="Arial"/>
                <w:sz w:val="20"/>
                <w:szCs w:val="20"/>
                <w:color w:val="auto"/>
              </w:rPr>
              <w:t>Other long-term liabilities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162,552</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118,330</w:t>
            </w:r>
          </w:p>
        </w:tc>
        <w:tc>
          <w:tcPr>
            <w:tcW w:w="0" w:type="dxa"/>
            <w:vAlign w:val="bottom"/>
          </w:tcPr>
          <w:p>
            <w:pPr>
              <w:spacing w:after="0"/>
              <w:rPr>
                <w:sz w:val="1"/>
                <w:szCs w:val="1"/>
                <w:color w:val="auto"/>
              </w:rPr>
            </w:pPr>
          </w:p>
        </w:tc>
      </w:tr>
      <w:tr>
        <w:trPr>
          <w:trHeight w:val="251"/>
        </w:trPr>
        <w:tc>
          <w:tcPr>
            <w:tcW w:w="784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Total other liabilities</w:t>
            </w:r>
          </w:p>
        </w:tc>
        <w:tc>
          <w:tcPr>
            <w:tcW w:w="180" w:type="dxa"/>
            <w:vAlign w:val="bottom"/>
            <w:tcBorders>
              <w:bottom w:val="single" w:sz="8" w:color="auto"/>
            </w:tcBorders>
            <w:shd w:val="clear" w:color="auto" w:fill="E6E6E6"/>
          </w:tcPr>
          <w:p>
            <w:pPr>
              <w:spacing w:after="0"/>
              <w:rPr>
                <w:sz w:val="21"/>
                <w:szCs w:val="21"/>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3,701,083</w:t>
            </w:r>
          </w:p>
        </w:tc>
        <w:tc>
          <w:tcPr>
            <w:tcW w:w="8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auto"/>
            </w:tcBorders>
            <w:shd w:val="clear" w:color="auto" w:fill="E6E6E6"/>
          </w:tcPr>
          <w:p>
            <w:pPr>
              <w:spacing w:after="0"/>
              <w:rPr>
                <w:sz w:val="21"/>
                <w:szCs w:val="21"/>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3,097,826</w:t>
            </w:r>
          </w:p>
        </w:tc>
        <w:tc>
          <w:tcPr>
            <w:tcW w:w="0" w:type="dxa"/>
            <w:vAlign w:val="bottom"/>
          </w:tcPr>
          <w:p>
            <w:pPr>
              <w:spacing w:after="0"/>
              <w:rPr>
                <w:sz w:val="1"/>
                <w:szCs w:val="1"/>
                <w:color w:val="auto"/>
              </w:rPr>
            </w:pPr>
          </w:p>
        </w:tc>
      </w:tr>
      <w:tr>
        <w:trPr>
          <w:trHeight w:val="221"/>
        </w:trPr>
        <w:tc>
          <w:tcPr>
            <w:tcW w:w="7840" w:type="dxa"/>
            <w:vAlign w:val="bottom"/>
          </w:tcPr>
          <w:p>
            <w:pPr>
              <w:ind w:left="60"/>
              <w:spacing w:after="0" w:line="221" w:lineRule="exact"/>
              <w:rPr>
                <w:sz w:val="20"/>
                <w:szCs w:val="20"/>
                <w:color w:val="auto"/>
              </w:rPr>
            </w:pPr>
            <w:r>
              <w:rPr>
                <w:rFonts w:ascii="Arial" w:cs="Arial" w:eastAsia="Arial" w:hAnsi="Arial"/>
                <w:sz w:val="20"/>
                <w:szCs w:val="20"/>
                <w:color w:val="auto"/>
              </w:rPr>
              <w:t>Commitments and contingent liabilities (See Note 18)</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Stockholders' equity:</w:t>
            </w: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40" w:type="dxa"/>
            <w:vAlign w:val="bottom"/>
          </w:tcPr>
          <w:p>
            <w:pPr>
              <w:ind w:left="140"/>
              <w:spacing w:after="0"/>
              <w:rPr>
                <w:sz w:val="20"/>
                <w:szCs w:val="20"/>
                <w:color w:val="auto"/>
              </w:rPr>
            </w:pPr>
            <w:r>
              <w:rPr>
                <w:rFonts w:ascii="Arial" w:cs="Arial" w:eastAsia="Arial" w:hAnsi="Arial"/>
                <w:sz w:val="20"/>
                <w:szCs w:val="20"/>
                <w:color w:val="auto"/>
              </w:rPr>
              <w:t>Common stock, $0.01 par value:</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840" w:type="dxa"/>
            <w:vAlign w:val="bottom"/>
            <w:shd w:val="clear" w:color="auto" w:fill="E6E6E6"/>
          </w:tcPr>
          <w:p>
            <w:pPr>
              <w:ind w:left="180"/>
              <w:spacing w:after="0" w:line="189" w:lineRule="exact"/>
              <w:rPr>
                <w:sz w:val="20"/>
                <w:szCs w:val="20"/>
                <w:color w:val="auto"/>
              </w:rPr>
            </w:pPr>
            <w:r>
              <w:rPr>
                <w:rFonts w:ascii="Arial" w:cs="Arial" w:eastAsia="Arial" w:hAnsi="Arial"/>
                <w:sz w:val="20"/>
                <w:szCs w:val="20"/>
                <w:color w:val="auto"/>
                <w:w w:val="94"/>
              </w:rPr>
              <w:t>Authorized 80,000,000 shares; issued and outstanding 53,832,692 and 53,929,703 shares,</w:t>
            </w:r>
          </w:p>
        </w:tc>
        <w:tc>
          <w:tcPr>
            <w:tcW w:w="180" w:type="dxa"/>
            <w:vAlign w:val="bottom"/>
            <w:shd w:val="clear" w:color="auto" w:fill="E6E6E6"/>
          </w:tcPr>
          <w:p>
            <w:pPr>
              <w:spacing w:after="0"/>
              <w:rPr>
                <w:sz w:val="16"/>
                <w:szCs w:val="16"/>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538</w:t>
            </w:r>
          </w:p>
        </w:tc>
        <w:tc>
          <w:tcPr>
            <w:tcW w:w="8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539</w:t>
            </w:r>
          </w:p>
        </w:tc>
        <w:tc>
          <w:tcPr>
            <w:tcW w:w="0" w:type="dxa"/>
            <w:vAlign w:val="bottom"/>
          </w:tcPr>
          <w:p>
            <w:pPr>
              <w:spacing w:after="0"/>
              <w:rPr>
                <w:sz w:val="1"/>
                <w:szCs w:val="1"/>
                <w:color w:val="auto"/>
              </w:rPr>
            </w:pPr>
          </w:p>
        </w:tc>
      </w:tr>
      <w:tr>
        <w:trPr>
          <w:trHeight w:val="269"/>
        </w:trPr>
        <w:tc>
          <w:tcPr>
            <w:tcW w:w="7840" w:type="dxa"/>
            <w:vAlign w:val="bottom"/>
            <w:shd w:val="clear" w:color="auto" w:fill="E6E6E6"/>
          </w:tcPr>
          <w:p>
            <w:pPr>
              <w:ind w:left="180"/>
              <w:spacing w:after="0"/>
              <w:rPr>
                <w:sz w:val="20"/>
                <w:szCs w:val="20"/>
                <w:color w:val="auto"/>
              </w:rPr>
            </w:pPr>
            <w:r>
              <w:rPr>
                <w:rFonts w:ascii="Arial" w:cs="Arial" w:eastAsia="Arial" w:hAnsi="Arial"/>
                <w:sz w:val="20"/>
                <w:szCs w:val="20"/>
                <w:color w:val="auto"/>
              </w:rPr>
              <w:t>respectively</w:t>
            </w:r>
          </w:p>
        </w:tc>
        <w:tc>
          <w:tcPr>
            <w:tcW w:w="180" w:type="dxa"/>
            <w:vAlign w:val="bottom"/>
            <w:shd w:val="clear" w:color="auto" w:fill="E6E6E6"/>
          </w:tcPr>
          <w:p>
            <w:pPr>
              <w:spacing w:after="0"/>
              <w:rPr>
                <w:sz w:val="23"/>
                <w:szCs w:val="23"/>
                <w:color w:val="auto"/>
              </w:rPr>
            </w:pPr>
          </w:p>
        </w:tc>
        <w:tc>
          <w:tcPr>
            <w:tcW w:w="9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9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7840" w:type="dxa"/>
            <w:vAlign w:val="bottom"/>
          </w:tcPr>
          <w:p>
            <w:pPr>
              <w:ind w:left="140"/>
              <w:spacing w:after="0"/>
              <w:rPr>
                <w:sz w:val="20"/>
                <w:szCs w:val="20"/>
                <w:color w:val="auto"/>
              </w:rPr>
            </w:pPr>
            <w:r>
              <w:rPr>
                <w:rFonts w:ascii="Arial" w:cs="Arial" w:eastAsia="Arial" w:hAnsi="Arial"/>
                <w:sz w:val="20"/>
                <w:szCs w:val="20"/>
                <w:color w:val="auto"/>
              </w:rPr>
              <w:t>Additional paid-in capital</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421,749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459,728</w:t>
            </w:r>
          </w:p>
        </w:tc>
        <w:tc>
          <w:tcPr>
            <w:tcW w:w="0" w:type="dxa"/>
            <w:vAlign w:val="bottom"/>
          </w:tcPr>
          <w:p>
            <w:pPr>
              <w:spacing w:after="0"/>
              <w:rPr>
                <w:sz w:val="1"/>
                <w:szCs w:val="1"/>
                <w:color w:val="auto"/>
              </w:rPr>
            </w:pPr>
          </w:p>
        </w:tc>
      </w:tr>
      <w:tr>
        <w:trPr>
          <w:trHeight w:val="251"/>
        </w:trPr>
        <w:tc>
          <w:tcPr>
            <w:tcW w:w="7840" w:type="dxa"/>
            <w:vAlign w:val="bottom"/>
            <w:shd w:val="clear" w:color="auto" w:fill="E6E6E6"/>
          </w:tcPr>
          <w:p>
            <w:pPr>
              <w:ind w:left="140"/>
              <w:spacing w:after="0"/>
              <w:rPr>
                <w:sz w:val="20"/>
                <w:szCs w:val="20"/>
                <w:color w:val="auto"/>
              </w:rPr>
            </w:pPr>
            <w:r>
              <w:rPr>
                <w:rFonts w:ascii="Arial" w:cs="Arial" w:eastAsia="Arial" w:hAnsi="Arial"/>
                <w:sz w:val="20"/>
                <w:szCs w:val="20"/>
                <w:color w:val="auto"/>
              </w:rPr>
              <w:t>Accumulated other comprehensive loss</w:t>
            </w: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(213,635)</w:t>
            </w:r>
          </w:p>
        </w:tc>
        <w:tc>
          <w:tcPr>
            <w:tcW w:w="8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(175,339)</w:t>
            </w:r>
          </w:p>
        </w:tc>
        <w:tc>
          <w:tcPr>
            <w:tcW w:w="0" w:type="dxa"/>
            <w:vAlign w:val="bottom"/>
          </w:tcPr>
          <w:p>
            <w:pPr>
              <w:spacing w:after="0"/>
              <w:rPr>
                <w:sz w:val="1"/>
                <w:szCs w:val="1"/>
                <w:color w:val="auto"/>
              </w:rPr>
            </w:pPr>
          </w:p>
        </w:tc>
      </w:tr>
      <w:tr>
        <w:trPr>
          <w:trHeight w:val="241"/>
        </w:trPr>
        <w:tc>
          <w:tcPr>
            <w:tcW w:w="7840" w:type="dxa"/>
            <w:vAlign w:val="bottom"/>
            <w:tcBorders>
              <w:bottom w:val="single" w:sz="8" w:color="E6E6E6"/>
            </w:tcBorders>
          </w:tcPr>
          <w:p>
            <w:pPr>
              <w:ind w:left="140"/>
              <w:spacing w:after="0"/>
              <w:rPr>
                <w:sz w:val="20"/>
                <w:szCs w:val="20"/>
                <w:color w:val="auto"/>
              </w:rPr>
            </w:pPr>
            <w:r>
              <w:rPr>
                <w:rFonts w:ascii="Arial" w:cs="Arial" w:eastAsia="Arial" w:hAnsi="Arial"/>
                <w:sz w:val="20"/>
                <w:szCs w:val="20"/>
                <w:color w:val="auto"/>
              </w:rPr>
              <w:t>Retained earnings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2,364,877</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1,962,578</w:t>
            </w:r>
          </w:p>
        </w:tc>
        <w:tc>
          <w:tcPr>
            <w:tcW w:w="0" w:type="dxa"/>
            <w:vAlign w:val="bottom"/>
          </w:tcPr>
          <w:p>
            <w:pPr>
              <w:spacing w:after="0"/>
              <w:rPr>
                <w:sz w:val="1"/>
                <w:szCs w:val="1"/>
                <w:color w:val="auto"/>
              </w:rPr>
            </w:pPr>
          </w:p>
        </w:tc>
      </w:tr>
      <w:tr>
        <w:trPr>
          <w:trHeight w:val="251"/>
        </w:trPr>
        <w:tc>
          <w:tcPr>
            <w:tcW w:w="784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Total stockholders' equity</w:t>
            </w:r>
          </w:p>
        </w:tc>
        <w:tc>
          <w:tcPr>
            <w:tcW w:w="180" w:type="dxa"/>
            <w:vAlign w:val="bottom"/>
            <w:tcBorders>
              <w:bottom w:val="single" w:sz="8" w:color="auto"/>
            </w:tcBorders>
            <w:shd w:val="clear" w:color="auto" w:fill="E6E6E6"/>
          </w:tcPr>
          <w:p>
            <w:pPr>
              <w:spacing w:after="0"/>
              <w:rPr>
                <w:sz w:val="21"/>
                <w:szCs w:val="21"/>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2,573,529</w:t>
            </w:r>
          </w:p>
        </w:tc>
        <w:tc>
          <w:tcPr>
            <w:tcW w:w="8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auto"/>
            </w:tcBorders>
            <w:shd w:val="clear" w:color="auto" w:fill="E6E6E6"/>
          </w:tcPr>
          <w:p>
            <w:pPr>
              <w:spacing w:after="0"/>
              <w:rPr>
                <w:sz w:val="21"/>
                <w:szCs w:val="21"/>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2,247,506</w:t>
            </w:r>
          </w:p>
        </w:tc>
        <w:tc>
          <w:tcPr>
            <w:tcW w:w="0" w:type="dxa"/>
            <w:vAlign w:val="bottom"/>
          </w:tcPr>
          <w:p>
            <w:pPr>
              <w:spacing w:after="0"/>
              <w:rPr>
                <w:sz w:val="1"/>
                <w:szCs w:val="1"/>
                <w:color w:val="auto"/>
              </w:rPr>
            </w:pPr>
          </w:p>
        </w:tc>
      </w:tr>
      <w:tr>
        <w:trPr>
          <w:trHeight w:val="191"/>
        </w:trPr>
        <w:tc>
          <w:tcPr>
            <w:tcW w:w="7840" w:type="dxa"/>
            <w:vAlign w:val="bottom"/>
          </w:tcPr>
          <w:p>
            <w:pPr>
              <w:ind w:left="280"/>
              <w:spacing w:after="0" w:line="191" w:lineRule="exact"/>
              <w:rPr>
                <w:sz w:val="20"/>
                <w:szCs w:val="20"/>
                <w:color w:val="auto"/>
              </w:rPr>
            </w:pPr>
            <w:r>
              <w:rPr>
                <w:rFonts w:ascii="Arial" w:cs="Arial" w:eastAsia="Arial" w:hAnsi="Arial"/>
                <w:sz w:val="20"/>
                <w:szCs w:val="20"/>
                <w:color w:val="auto"/>
              </w:rPr>
              <w:t>Total liabilities and stockholders' equity</w:t>
            </w:r>
          </w:p>
        </w:tc>
        <w:tc>
          <w:tcPr>
            <w:tcW w:w="1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20"/>
                <w:szCs w:val="20"/>
                <w:color w:val="auto"/>
                <w:w w:val="89"/>
              </w:rPr>
              <w:t>7,377,278</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20"/>
                <w:szCs w:val="20"/>
                <w:color w:val="auto"/>
                <w:w w:val="89"/>
              </w:rPr>
              <w:t>6,382,869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4970145</wp:posOffset>
            </wp:positionH>
            <wp:positionV relativeFrom="paragraph">
              <wp:posOffset>-4481195</wp:posOffset>
            </wp:positionV>
            <wp:extent cx="1442085" cy="501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42085" cy="50165"/>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-43180</wp:posOffset>
            </wp:positionV>
            <wp:extent cx="1442085" cy="50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2085" cy="501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880" w:h="15480" w:orient="portrait"/>
          <w:cols w:equalWidth="0" w:num="1">
            <w:col w:w="10080"/>
          </w:cols>
          <w:pgMar w:left="900" w:top="56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880" w:h="15480" w:orient="portrait"/>
          <w:cols w:equalWidth="0" w:num="1">
            <w:col w:w="10080"/>
          </w:cols>
          <w:pgMar w:left="900" w:top="568" w:right="900" w:bottom="0" w:gutter="0" w:footer="0" w:header="0"/>
          <w:type w:val="continuous"/>
        </w:sectPr>
      </w:pPr>
    </w:p>
    <w:bookmarkStart w:id="59" w:name="page60"/>
    <w:bookmarkEnd w:id="59"/>
    <w:p>
      <w:pPr>
        <w:ind w:left="2960"/>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right"/>
              <w:ind w:right="542"/>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231"/>
        </w:trPr>
        <w:tc>
          <w:tcPr>
            <w:tcW w:w="64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71"/>
        </w:trPr>
        <w:tc>
          <w:tcPr>
            <w:tcW w:w="648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Revenues:</w:t>
            </w:r>
          </w:p>
        </w:tc>
        <w:tc>
          <w:tcPr>
            <w:tcW w:w="220" w:type="dxa"/>
            <w:vAlign w:val="bottom"/>
            <w:shd w:val="clear" w:color="auto" w:fill="E6E6E6"/>
          </w:tcPr>
          <w:p>
            <w:pPr>
              <w:spacing w:after="0"/>
              <w:rPr>
                <w:sz w:val="23"/>
                <w:szCs w:val="23"/>
                <w:color w:val="auto"/>
              </w:rPr>
            </w:pPr>
          </w:p>
        </w:tc>
        <w:tc>
          <w:tcPr>
            <w:tcW w:w="9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9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9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480" w:type="dxa"/>
            <w:vAlign w:val="bottom"/>
          </w:tcPr>
          <w:p>
            <w:pPr>
              <w:ind w:left="180"/>
              <w:spacing w:after="0"/>
              <w:rPr>
                <w:sz w:val="20"/>
                <w:szCs w:val="20"/>
                <w:color w:val="auto"/>
              </w:rPr>
            </w:pPr>
            <w:r>
              <w:rPr>
                <w:rFonts w:ascii="Arial" w:cs="Arial" w:eastAsia="Arial" w:hAnsi="Arial"/>
                <w:sz w:val="20"/>
                <w:szCs w:val="20"/>
                <w:color w:val="auto"/>
              </w:rPr>
              <w:t>Service revenues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w w:val="92"/>
              </w:rPr>
              <w:t>4,928,023</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4,449,542</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w w:val="92"/>
              </w:rPr>
              <w:t>4,133,184</w:t>
            </w:r>
          </w:p>
        </w:tc>
        <w:tc>
          <w:tcPr>
            <w:tcW w:w="0" w:type="dxa"/>
            <w:vAlign w:val="bottom"/>
          </w:tcPr>
          <w:p>
            <w:pPr>
              <w:spacing w:after="0"/>
              <w:rPr>
                <w:sz w:val="1"/>
                <w:szCs w:val="1"/>
                <w:color w:val="auto"/>
              </w:rPr>
            </w:pPr>
          </w:p>
        </w:tc>
      </w:tr>
      <w:tr>
        <w:trPr>
          <w:trHeight w:val="291"/>
        </w:trPr>
        <w:tc>
          <w:tcPr>
            <w:tcW w:w="648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Product revenues</w:t>
            </w:r>
          </w:p>
        </w:tc>
        <w:tc>
          <w:tcPr>
            <w:tcW w:w="22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961,929</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959,610</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2"/>
              </w:rPr>
              <w:t>1,033,421</w:t>
            </w:r>
          </w:p>
        </w:tc>
        <w:tc>
          <w:tcPr>
            <w:tcW w:w="0" w:type="dxa"/>
            <w:vAlign w:val="bottom"/>
          </w:tcPr>
          <w:p>
            <w:pPr>
              <w:spacing w:after="0"/>
              <w:rPr>
                <w:sz w:val="1"/>
                <w:szCs w:val="1"/>
                <w:color w:val="auto"/>
              </w:rPr>
            </w:pPr>
          </w:p>
        </w:tc>
      </w:tr>
      <w:tr>
        <w:trPr>
          <w:trHeight w:val="275"/>
        </w:trPr>
        <w:tc>
          <w:tcPr>
            <w:tcW w:w="64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Total revenues</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5,889,952</w:t>
            </w:r>
          </w:p>
        </w:tc>
        <w:tc>
          <w:tcPr>
            <w:tcW w:w="8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5,409,152</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5,166,605</w:t>
            </w:r>
          </w:p>
        </w:tc>
        <w:tc>
          <w:tcPr>
            <w:tcW w:w="0" w:type="dxa"/>
            <w:vAlign w:val="bottom"/>
          </w:tcPr>
          <w:p>
            <w:pPr>
              <w:spacing w:after="0"/>
              <w:rPr>
                <w:sz w:val="1"/>
                <w:szCs w:val="1"/>
                <w:color w:val="auto"/>
              </w:rPr>
            </w:pPr>
          </w:p>
        </w:tc>
      </w:tr>
      <w:tr>
        <w:trPr>
          <w:trHeight w:val="271"/>
        </w:trPr>
        <w:tc>
          <w:tcPr>
            <w:tcW w:w="648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Cost of revenues: (exclusive of items shown separately below)</w:t>
            </w:r>
          </w:p>
        </w:tc>
        <w:tc>
          <w:tcPr>
            <w:tcW w:w="220" w:type="dxa"/>
            <w:vAlign w:val="bottom"/>
            <w:shd w:val="clear" w:color="auto" w:fill="E6E6E6"/>
          </w:tcPr>
          <w:p>
            <w:pPr>
              <w:spacing w:after="0"/>
              <w:rPr>
                <w:sz w:val="23"/>
                <w:szCs w:val="23"/>
                <w:color w:val="auto"/>
              </w:rPr>
            </w:pPr>
          </w:p>
        </w:tc>
        <w:tc>
          <w:tcPr>
            <w:tcW w:w="9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9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9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480" w:type="dxa"/>
            <w:vAlign w:val="bottom"/>
          </w:tcPr>
          <w:p>
            <w:pPr>
              <w:ind w:left="180"/>
              <w:spacing w:after="0"/>
              <w:rPr>
                <w:sz w:val="20"/>
                <w:szCs w:val="20"/>
                <w:color w:val="auto"/>
              </w:rPr>
            </w:pPr>
            <w:r>
              <w:rPr>
                <w:rFonts w:ascii="Arial" w:cs="Arial" w:eastAsia="Arial" w:hAnsi="Arial"/>
                <w:sz w:val="20"/>
                <w:szCs w:val="20"/>
                <w:color w:val="auto"/>
              </w:rPr>
              <w:t>Service revenues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2"/>
              </w:rPr>
              <w:t>3,370,231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4"/>
              </w:rPr>
              <w:t>3,054,594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92"/>
              </w:rPr>
              <w:t>2,892,726</w:t>
            </w:r>
          </w:p>
        </w:tc>
        <w:tc>
          <w:tcPr>
            <w:tcW w:w="0" w:type="dxa"/>
            <w:vAlign w:val="bottom"/>
          </w:tcPr>
          <w:p>
            <w:pPr>
              <w:spacing w:after="0"/>
              <w:rPr>
                <w:sz w:val="1"/>
                <w:szCs w:val="1"/>
                <w:color w:val="auto"/>
              </w:rPr>
            </w:pPr>
          </w:p>
        </w:tc>
      </w:tr>
      <w:tr>
        <w:trPr>
          <w:trHeight w:val="291"/>
        </w:trPr>
        <w:tc>
          <w:tcPr>
            <w:tcW w:w="648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Product revenues</w:t>
            </w:r>
          </w:p>
        </w:tc>
        <w:tc>
          <w:tcPr>
            <w:tcW w:w="22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695,482</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691,530</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651,204</w:t>
            </w:r>
          </w:p>
        </w:tc>
        <w:tc>
          <w:tcPr>
            <w:tcW w:w="0" w:type="dxa"/>
            <w:vAlign w:val="bottom"/>
          </w:tcPr>
          <w:p>
            <w:pPr>
              <w:spacing w:after="0"/>
              <w:rPr>
                <w:sz w:val="1"/>
                <w:szCs w:val="1"/>
                <w:color w:val="auto"/>
              </w:rPr>
            </w:pPr>
          </w:p>
        </w:tc>
      </w:tr>
      <w:tr>
        <w:trPr>
          <w:trHeight w:val="275"/>
        </w:trPr>
        <w:tc>
          <w:tcPr>
            <w:tcW w:w="64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Total cost of revenues</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4,065,713</w:t>
            </w:r>
          </w:p>
        </w:tc>
        <w:tc>
          <w:tcPr>
            <w:tcW w:w="8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3,746,124</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3,543,930</w:t>
            </w:r>
          </w:p>
        </w:tc>
        <w:tc>
          <w:tcPr>
            <w:tcW w:w="0" w:type="dxa"/>
            <w:vAlign w:val="bottom"/>
          </w:tcPr>
          <w:p>
            <w:pPr>
              <w:spacing w:after="0"/>
              <w:rPr>
                <w:sz w:val="1"/>
                <w:szCs w:val="1"/>
                <w:color w:val="auto"/>
              </w:rPr>
            </w:pPr>
          </w:p>
        </w:tc>
      </w:tr>
      <w:tr>
        <w:trPr>
          <w:trHeight w:val="286"/>
        </w:trPr>
        <w:tc>
          <w:tcPr>
            <w:tcW w:w="6480" w:type="dxa"/>
            <w:vAlign w:val="bottom"/>
            <w:shd w:val="clear" w:color="auto" w:fill="E6E6E6"/>
          </w:tcPr>
          <w:p>
            <w:pPr>
              <w:ind w:left="40"/>
              <w:spacing w:after="0"/>
              <w:rPr>
                <w:sz w:val="20"/>
                <w:szCs w:val="20"/>
                <w:color w:val="auto"/>
              </w:rPr>
            </w:pPr>
            <w:r>
              <w:rPr>
                <w:rFonts w:ascii="Arial" w:cs="Arial" w:eastAsia="Arial" w:hAnsi="Arial"/>
                <w:sz w:val="20"/>
                <w:szCs w:val="20"/>
                <w:color w:val="auto"/>
              </w:rPr>
              <w:t>Selling, general and administrative expenses</w:t>
            </w: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739,629</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671,161</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627,391</w:t>
            </w:r>
          </w:p>
        </w:tc>
        <w:tc>
          <w:tcPr>
            <w:tcW w:w="0" w:type="dxa"/>
            <w:vAlign w:val="bottom"/>
          </w:tcPr>
          <w:p>
            <w:pPr>
              <w:spacing w:after="0"/>
              <w:rPr>
                <w:sz w:val="1"/>
                <w:szCs w:val="1"/>
                <w:color w:val="auto"/>
              </w:rPr>
            </w:pPr>
          </w:p>
        </w:tc>
      </w:tr>
      <w:tr>
        <w:trPr>
          <w:trHeight w:val="290"/>
        </w:trPr>
        <w:tc>
          <w:tcPr>
            <w:tcW w:w="6480" w:type="dxa"/>
            <w:vAlign w:val="bottom"/>
          </w:tcPr>
          <w:p>
            <w:pPr>
              <w:ind w:left="40"/>
              <w:spacing w:after="0"/>
              <w:rPr>
                <w:sz w:val="20"/>
                <w:szCs w:val="20"/>
                <w:color w:val="auto"/>
              </w:rPr>
            </w:pPr>
            <w:r>
              <w:rPr>
                <w:rFonts w:ascii="Arial" w:cs="Arial" w:eastAsia="Arial" w:hAnsi="Arial"/>
                <w:sz w:val="20"/>
                <w:szCs w:val="20"/>
                <w:color w:val="auto"/>
              </w:rPr>
              <w:t>Accretion of environmental liabilities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13,456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13,667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12,943</w:t>
            </w:r>
          </w:p>
        </w:tc>
        <w:tc>
          <w:tcPr>
            <w:tcW w:w="0" w:type="dxa"/>
            <w:vAlign w:val="bottom"/>
          </w:tcPr>
          <w:p>
            <w:pPr>
              <w:spacing w:after="0"/>
              <w:rPr>
                <w:sz w:val="1"/>
                <w:szCs w:val="1"/>
                <w:color w:val="auto"/>
              </w:rPr>
            </w:pPr>
          </w:p>
        </w:tc>
      </w:tr>
      <w:tr>
        <w:trPr>
          <w:trHeight w:val="311"/>
        </w:trPr>
        <w:tc>
          <w:tcPr>
            <w:tcW w:w="6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Depreciation and amortization</w:t>
            </w:r>
          </w:p>
        </w:tc>
        <w:tc>
          <w:tcPr>
            <w:tcW w:w="22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400,922</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365,761</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347,594</w:t>
            </w:r>
          </w:p>
        </w:tc>
        <w:tc>
          <w:tcPr>
            <w:tcW w:w="0" w:type="dxa"/>
            <w:vAlign w:val="bottom"/>
          </w:tcPr>
          <w:p>
            <w:pPr>
              <w:spacing w:after="0"/>
              <w:rPr>
                <w:sz w:val="1"/>
                <w:szCs w:val="1"/>
                <w:color w:val="auto"/>
              </w:rPr>
            </w:pPr>
          </w:p>
        </w:tc>
      </w:tr>
      <w:tr>
        <w:trPr>
          <w:trHeight w:val="260"/>
        </w:trPr>
        <w:tc>
          <w:tcPr>
            <w:tcW w:w="6480" w:type="dxa"/>
            <w:vAlign w:val="bottom"/>
          </w:tcPr>
          <w:p>
            <w:pPr>
              <w:ind w:left="40"/>
              <w:spacing w:after="0"/>
              <w:rPr>
                <w:sz w:val="20"/>
                <w:szCs w:val="20"/>
                <w:color w:val="auto"/>
              </w:rPr>
            </w:pPr>
            <w:r>
              <w:rPr>
                <w:rFonts w:ascii="Arial" w:cs="Arial" w:eastAsia="Arial" w:hAnsi="Arial"/>
                <w:sz w:val="20"/>
                <w:szCs w:val="20"/>
                <w:b w:val="1"/>
                <w:bCs w:val="1"/>
                <w:color w:val="auto"/>
              </w:rPr>
              <w:t>Income from operations</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670,232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612,439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634,747</w:t>
            </w:r>
          </w:p>
        </w:tc>
        <w:tc>
          <w:tcPr>
            <w:tcW w:w="0" w:type="dxa"/>
            <w:vAlign w:val="bottom"/>
          </w:tcPr>
          <w:p>
            <w:pPr>
              <w:spacing w:after="0"/>
              <w:rPr>
                <w:sz w:val="1"/>
                <w:szCs w:val="1"/>
                <w:color w:val="auto"/>
              </w:rPr>
            </w:pPr>
          </w:p>
        </w:tc>
      </w:tr>
      <w:tr>
        <w:trPr>
          <w:trHeight w:val="301"/>
        </w:trPr>
        <w:tc>
          <w:tcPr>
            <w:tcW w:w="6480" w:type="dxa"/>
            <w:vAlign w:val="bottom"/>
            <w:shd w:val="clear" w:color="auto" w:fill="E6E6E6"/>
          </w:tcPr>
          <w:p>
            <w:pPr>
              <w:ind w:left="40"/>
              <w:spacing w:after="0"/>
              <w:rPr>
                <w:sz w:val="20"/>
                <w:szCs w:val="20"/>
                <w:color w:val="auto"/>
              </w:rPr>
            </w:pPr>
            <w:r>
              <w:rPr>
                <w:rFonts w:ascii="Arial" w:cs="Arial" w:eastAsia="Arial" w:hAnsi="Arial"/>
                <w:sz w:val="20"/>
                <w:szCs w:val="20"/>
                <w:color w:val="auto"/>
              </w:rPr>
              <w:t>Other (expense) income, net</w:t>
            </w: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(1,454)</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2,315</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2,472</w:t>
            </w:r>
          </w:p>
        </w:tc>
        <w:tc>
          <w:tcPr>
            <w:tcW w:w="0" w:type="dxa"/>
            <w:vAlign w:val="bottom"/>
          </w:tcPr>
          <w:p>
            <w:pPr>
              <w:spacing w:after="0"/>
              <w:rPr>
                <w:sz w:val="1"/>
                <w:szCs w:val="1"/>
                <w:color w:val="auto"/>
              </w:rPr>
            </w:pPr>
          </w:p>
        </w:tc>
      </w:tr>
      <w:tr>
        <w:trPr>
          <w:trHeight w:val="290"/>
        </w:trPr>
        <w:tc>
          <w:tcPr>
            <w:tcW w:w="6480" w:type="dxa"/>
            <w:vAlign w:val="bottom"/>
          </w:tcPr>
          <w:p>
            <w:pPr>
              <w:ind w:left="40"/>
              <w:spacing w:after="0"/>
              <w:rPr>
                <w:sz w:val="20"/>
                <w:szCs w:val="20"/>
                <w:color w:val="auto"/>
              </w:rPr>
            </w:pPr>
            <w:r>
              <w:rPr>
                <w:rFonts w:ascii="Arial" w:cs="Arial" w:eastAsia="Arial" w:hAnsi="Arial"/>
                <w:sz w:val="20"/>
                <w:szCs w:val="20"/>
                <w:color w:val="auto"/>
              </w:rPr>
              <w:t>Loss on early extinguishment of debt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(371)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(2,880)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(422)</w:t>
            </w:r>
          </w:p>
        </w:tc>
        <w:tc>
          <w:tcPr>
            <w:tcW w:w="0" w:type="dxa"/>
            <w:vAlign w:val="bottom"/>
          </w:tcPr>
          <w:p>
            <w:pPr>
              <w:spacing w:after="0"/>
              <w:rPr>
                <w:sz w:val="1"/>
                <w:szCs w:val="1"/>
                <w:color w:val="auto"/>
              </w:rPr>
            </w:pPr>
          </w:p>
        </w:tc>
      </w:tr>
      <w:tr>
        <w:trPr>
          <w:trHeight w:val="301"/>
        </w:trPr>
        <w:tc>
          <w:tcPr>
            <w:tcW w:w="6480" w:type="dxa"/>
            <w:vAlign w:val="bottom"/>
            <w:shd w:val="clear" w:color="auto" w:fill="E6E6E6"/>
          </w:tcPr>
          <w:p>
            <w:pPr>
              <w:ind w:left="40"/>
              <w:spacing w:after="0"/>
              <w:rPr>
                <w:sz w:val="20"/>
                <w:szCs w:val="20"/>
                <w:color w:val="auto"/>
              </w:rPr>
            </w:pPr>
            <w:r>
              <w:rPr>
                <w:rFonts w:ascii="Arial" w:cs="Arial" w:eastAsia="Arial" w:hAnsi="Arial"/>
                <w:sz w:val="20"/>
                <w:szCs w:val="20"/>
                <w:color w:val="auto"/>
              </w:rPr>
              <w:t>Gain on sale of business</w:t>
            </w: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8,864</w:t>
            </w:r>
          </w:p>
        </w:tc>
        <w:tc>
          <w:tcPr>
            <w:tcW w:w="0" w:type="dxa"/>
            <w:vAlign w:val="bottom"/>
          </w:tcPr>
          <w:p>
            <w:pPr>
              <w:spacing w:after="0"/>
              <w:rPr>
                <w:sz w:val="1"/>
                <w:szCs w:val="1"/>
                <w:color w:val="auto"/>
              </w:rPr>
            </w:pPr>
          </w:p>
        </w:tc>
      </w:tr>
      <w:tr>
        <w:trPr>
          <w:trHeight w:val="189"/>
        </w:trPr>
        <w:tc>
          <w:tcPr>
            <w:tcW w:w="6480" w:type="dxa"/>
            <w:vAlign w:val="bottom"/>
          </w:tcPr>
          <w:p>
            <w:pPr>
              <w:ind w:left="40"/>
              <w:spacing w:after="0" w:line="189" w:lineRule="exact"/>
              <w:rPr>
                <w:sz w:val="20"/>
                <w:szCs w:val="20"/>
                <w:color w:val="auto"/>
              </w:rPr>
            </w:pPr>
            <w:r>
              <w:rPr>
                <w:rFonts w:ascii="Arial" w:cs="Arial" w:eastAsia="Arial" w:hAnsi="Arial"/>
                <w:sz w:val="20"/>
                <w:szCs w:val="20"/>
                <w:color w:val="auto"/>
                <w:w w:val="99"/>
              </w:rPr>
              <w:t>Interest expense, net of interest income of $19,437, $11,930 and $4,607,</w:t>
            </w:r>
          </w:p>
        </w:tc>
        <w:tc>
          <w:tcPr>
            <w:tcW w:w="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(134,964)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(108,595)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(107,663)</w:t>
            </w:r>
          </w:p>
        </w:tc>
        <w:tc>
          <w:tcPr>
            <w:tcW w:w="0" w:type="dxa"/>
            <w:vAlign w:val="bottom"/>
          </w:tcPr>
          <w:p>
            <w:pPr>
              <w:spacing w:after="0"/>
              <w:rPr>
                <w:sz w:val="1"/>
                <w:szCs w:val="1"/>
                <w:color w:val="auto"/>
              </w:rPr>
            </w:pPr>
          </w:p>
        </w:tc>
      </w:tr>
      <w:tr>
        <w:trPr>
          <w:trHeight w:val="259"/>
        </w:trPr>
        <w:tc>
          <w:tcPr>
            <w:tcW w:w="64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respectively</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48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Income before provision for income taxes</w:t>
            </w: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533,443</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503,279</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537,998</w:t>
            </w:r>
          </w:p>
        </w:tc>
        <w:tc>
          <w:tcPr>
            <w:tcW w:w="0" w:type="dxa"/>
            <w:vAlign w:val="bottom"/>
          </w:tcPr>
          <w:p>
            <w:pPr>
              <w:spacing w:after="0"/>
              <w:rPr>
                <w:sz w:val="1"/>
                <w:szCs w:val="1"/>
                <w:color w:val="auto"/>
              </w:rPr>
            </w:pPr>
          </w:p>
        </w:tc>
      </w:tr>
      <w:tr>
        <w:trPr>
          <w:trHeight w:val="285"/>
        </w:trPr>
        <w:tc>
          <w:tcPr>
            <w:tcW w:w="64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131,144</w:t>
            </w: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125,423</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126,254</w:t>
            </w:r>
          </w:p>
        </w:tc>
        <w:tc>
          <w:tcPr>
            <w:tcW w:w="0" w:type="dxa"/>
            <w:vAlign w:val="bottom"/>
          </w:tcPr>
          <w:p>
            <w:pPr>
              <w:spacing w:after="0"/>
              <w:rPr>
                <w:sz w:val="1"/>
                <w:szCs w:val="1"/>
                <w:color w:val="auto"/>
              </w:rPr>
            </w:pPr>
          </w:p>
        </w:tc>
      </w:tr>
      <w:tr>
        <w:trPr>
          <w:trHeight w:val="295"/>
        </w:trPr>
        <w:tc>
          <w:tcPr>
            <w:tcW w:w="648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Net income</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402,299</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377,856</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411,744</w:t>
            </w:r>
          </w:p>
        </w:tc>
        <w:tc>
          <w:tcPr>
            <w:tcW w:w="0" w:type="dxa"/>
            <w:vAlign w:val="bottom"/>
          </w:tcPr>
          <w:p>
            <w:pPr>
              <w:spacing w:after="0"/>
              <w:rPr>
                <w:sz w:val="1"/>
                <w:szCs w:val="1"/>
                <w:color w:val="auto"/>
              </w:rPr>
            </w:pPr>
          </w:p>
        </w:tc>
      </w:tr>
      <w:tr>
        <w:trPr>
          <w:trHeight w:val="260"/>
        </w:trPr>
        <w:tc>
          <w:tcPr>
            <w:tcW w:w="6480" w:type="dxa"/>
            <w:vAlign w:val="bottom"/>
            <w:tcBorders>
              <w:top w:val="single" w:sz="8" w:color="E6E6E6"/>
            </w:tcBorders>
          </w:tcPr>
          <w:p>
            <w:pPr>
              <w:ind w:left="40"/>
              <w:spacing w:after="0"/>
              <w:rPr>
                <w:sz w:val="20"/>
                <w:szCs w:val="20"/>
                <w:color w:val="auto"/>
              </w:rPr>
            </w:pPr>
            <w:r>
              <w:rPr>
                <w:rFonts w:ascii="Arial" w:cs="Arial" w:eastAsia="Arial" w:hAnsi="Arial"/>
                <w:sz w:val="20"/>
                <w:szCs w:val="20"/>
                <w:b w:val="1"/>
                <w:bCs w:val="1"/>
                <w:color w:val="auto"/>
              </w:rPr>
              <w:t>Earnings per share:</w:t>
            </w: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80" w:type="dxa"/>
            <w:vAlign w:val="bottom"/>
            <w:tcBorders>
              <w:top w:val="single" w:sz="8" w:color="E6E6E6"/>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60" w:type="dxa"/>
            <w:vAlign w:val="bottom"/>
            <w:tcBorders>
              <w:top w:val="single" w:sz="8" w:color="E6E6E6"/>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6480" w:type="dxa"/>
            <w:vAlign w:val="bottom"/>
            <w:shd w:val="clear" w:color="auto" w:fill="E6E6E6"/>
          </w:tcPr>
          <w:p>
            <w:pPr>
              <w:ind w:left="180"/>
              <w:spacing w:after="0"/>
              <w:rPr>
                <w:sz w:val="20"/>
                <w:szCs w:val="20"/>
                <w:color w:val="auto"/>
              </w:rPr>
            </w:pPr>
            <w:r>
              <w:rPr>
                <w:rFonts w:ascii="Arial" w:cs="Arial" w:eastAsia="Arial" w:hAnsi="Arial"/>
                <w:sz w:val="20"/>
                <w:szCs w:val="20"/>
                <w:color w:val="auto"/>
              </w:rPr>
              <w:t>Basic</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7.46</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6.99</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7.59</w:t>
            </w:r>
          </w:p>
        </w:tc>
        <w:tc>
          <w:tcPr>
            <w:tcW w:w="0" w:type="dxa"/>
            <w:vAlign w:val="bottom"/>
          </w:tcPr>
          <w:p>
            <w:pPr>
              <w:spacing w:after="0"/>
              <w:rPr>
                <w:sz w:val="1"/>
                <w:szCs w:val="1"/>
                <w:color w:val="auto"/>
              </w:rPr>
            </w:pPr>
          </w:p>
        </w:tc>
      </w:tr>
      <w:tr>
        <w:trPr>
          <w:trHeight w:val="276"/>
        </w:trPr>
        <w:tc>
          <w:tcPr>
            <w:tcW w:w="6480" w:type="dxa"/>
            <w:vAlign w:val="bottom"/>
            <w:tcBorders>
              <w:top w:val="single" w:sz="8" w:color="E6E6E6"/>
              <w:bottom w:val="single" w:sz="8" w:color="E6E6E6"/>
            </w:tcBorders>
          </w:tcPr>
          <w:p>
            <w:pPr>
              <w:ind w:left="180"/>
              <w:spacing w:after="0"/>
              <w:rPr>
                <w:sz w:val="20"/>
                <w:szCs w:val="20"/>
                <w:color w:val="auto"/>
              </w:rPr>
            </w:pPr>
            <w:r>
              <w:rPr>
                <w:rFonts w:ascii="Arial" w:cs="Arial" w:eastAsia="Arial" w:hAnsi="Arial"/>
                <w:sz w:val="20"/>
                <w:szCs w:val="20"/>
                <w:color w:val="auto"/>
              </w:rPr>
              <w:t>Diluted</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7.42</w:t>
            </w:r>
          </w:p>
        </w:tc>
        <w:tc>
          <w:tcPr>
            <w:tcW w:w="80" w:type="dxa"/>
            <w:vAlign w:val="bottom"/>
            <w:tcBorders>
              <w:top w:val="single" w:sz="8" w:color="E6E6E6"/>
              <w:bottom w:val="single" w:sz="8" w:color="E6E6E6"/>
            </w:tcBorders>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6.95</w:t>
            </w:r>
          </w:p>
        </w:tc>
        <w:tc>
          <w:tcPr>
            <w:tcW w:w="60" w:type="dxa"/>
            <w:vAlign w:val="bottom"/>
            <w:tcBorders>
              <w:top w:val="single" w:sz="8" w:color="E6E6E6"/>
              <w:bottom w:val="single" w:sz="8" w:color="E6E6E6"/>
            </w:tcBorders>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7.56</w:t>
            </w:r>
          </w:p>
        </w:tc>
        <w:tc>
          <w:tcPr>
            <w:tcW w:w="0" w:type="dxa"/>
            <w:vAlign w:val="bottom"/>
          </w:tcPr>
          <w:p>
            <w:pPr>
              <w:spacing w:after="0"/>
              <w:rPr>
                <w:sz w:val="1"/>
                <w:szCs w:val="1"/>
                <w:color w:val="auto"/>
              </w:rPr>
            </w:pPr>
          </w:p>
        </w:tc>
      </w:tr>
      <w:tr>
        <w:trPr>
          <w:trHeight w:val="275"/>
        </w:trPr>
        <w:tc>
          <w:tcPr>
            <w:tcW w:w="6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Shares used to compute earnings per share — Basic</w:t>
            </w:r>
          </w:p>
        </w:tc>
        <w:tc>
          <w:tcPr>
            <w:tcW w:w="22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53,902</w:t>
            </w:r>
          </w:p>
        </w:tc>
        <w:tc>
          <w:tcPr>
            <w:tcW w:w="8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54,071</w:t>
            </w: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54,223</w:t>
            </w:r>
          </w:p>
        </w:tc>
        <w:tc>
          <w:tcPr>
            <w:tcW w:w="0" w:type="dxa"/>
            <w:vAlign w:val="bottom"/>
          </w:tcPr>
          <w:p>
            <w:pPr>
              <w:spacing w:after="0"/>
              <w:rPr>
                <w:sz w:val="1"/>
                <w:szCs w:val="1"/>
                <w:color w:val="auto"/>
              </w:rPr>
            </w:pPr>
          </w:p>
        </w:tc>
      </w:tr>
      <w:tr>
        <w:trPr>
          <w:trHeight w:val="236"/>
        </w:trPr>
        <w:tc>
          <w:tcPr>
            <w:tcW w:w="6480" w:type="dxa"/>
            <w:vAlign w:val="bottom"/>
          </w:tcPr>
          <w:p>
            <w:pPr>
              <w:ind w:left="40"/>
              <w:spacing w:after="0"/>
              <w:rPr>
                <w:sz w:val="20"/>
                <w:szCs w:val="20"/>
                <w:color w:val="auto"/>
              </w:rPr>
            </w:pPr>
            <w:r>
              <w:rPr>
                <w:rFonts w:ascii="Arial" w:cs="Arial" w:eastAsia="Arial" w:hAnsi="Arial"/>
                <w:sz w:val="20"/>
                <w:szCs w:val="20"/>
                <w:color w:val="auto"/>
              </w:rPr>
              <w:t>Shares used to compute earnings per share — Diluted</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54,199</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54,382</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54,487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-981710</wp:posOffset>
            </wp:positionV>
            <wp:extent cx="2286635" cy="50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6635" cy="5016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-606425</wp:posOffset>
            </wp:positionV>
            <wp:extent cx="2286635" cy="50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6635" cy="5016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-418465</wp:posOffset>
            </wp:positionV>
            <wp:extent cx="2286635" cy="50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6635" cy="5016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-231140</wp:posOffset>
            </wp:positionV>
            <wp:extent cx="2286635" cy="5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86635" cy="5016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-43180</wp:posOffset>
            </wp:positionV>
            <wp:extent cx="2286635" cy="50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86635" cy="5016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10040"/>
          </w:cols>
          <w:pgMar w:left="920" w:top="56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880" w:h="15480" w:orient="portrait"/>
          <w:cols w:equalWidth="0" w:num="1">
            <w:col w:w="10040"/>
          </w:cols>
          <w:pgMar w:left="920" w:top="568" w:right="920" w:bottom="0" w:gutter="0" w:footer="0" w:header="0"/>
          <w:type w:val="continuous"/>
        </w:sectPr>
      </w:pPr>
    </w:p>
    <w:bookmarkStart w:id="60" w:name="page61"/>
    <w:bookmarkEnd w:id="60"/>
    <w:p>
      <w:pPr>
        <w:ind w:left="2980"/>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right"/>
              <w:ind w:right="563"/>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261"/>
        </w:trPr>
        <w:tc>
          <w:tcPr>
            <w:tcW w:w="64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71"/>
        </w:trPr>
        <w:tc>
          <w:tcPr>
            <w:tcW w:w="64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Net income</w:t>
            </w:r>
          </w:p>
        </w:tc>
        <w:tc>
          <w:tcPr>
            <w:tcW w:w="28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402,299</w:t>
            </w:r>
          </w:p>
        </w:tc>
        <w:tc>
          <w:tcPr>
            <w:tcW w:w="380" w:type="dxa"/>
            <w:vAlign w:val="bottom"/>
            <w:gridSpan w:val="2"/>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377,856</w:t>
            </w:r>
          </w:p>
        </w:tc>
        <w:tc>
          <w:tcPr>
            <w:tcW w:w="380" w:type="dxa"/>
            <w:vAlign w:val="bottom"/>
            <w:gridSpan w:val="2"/>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411,744</w:t>
            </w:r>
          </w:p>
        </w:tc>
        <w:tc>
          <w:tcPr>
            <w:tcW w:w="0" w:type="dxa"/>
            <w:vAlign w:val="bottom"/>
          </w:tcPr>
          <w:p>
            <w:pPr>
              <w:spacing w:after="0"/>
              <w:rPr>
                <w:sz w:val="1"/>
                <w:szCs w:val="1"/>
                <w:color w:val="auto"/>
              </w:rPr>
            </w:pPr>
          </w:p>
        </w:tc>
      </w:tr>
      <w:tr>
        <w:trPr>
          <w:trHeight w:val="275"/>
        </w:trPr>
        <w:tc>
          <w:tcPr>
            <w:tcW w:w="6460" w:type="dxa"/>
            <w:vAlign w:val="bottom"/>
          </w:tcPr>
          <w:p>
            <w:pPr>
              <w:ind w:left="180"/>
              <w:spacing w:after="0"/>
              <w:rPr>
                <w:sz w:val="20"/>
                <w:szCs w:val="20"/>
                <w:color w:val="auto"/>
              </w:rPr>
            </w:pPr>
            <w:r>
              <w:rPr>
                <w:rFonts w:ascii="Arial" w:cs="Arial" w:eastAsia="Arial" w:hAnsi="Arial"/>
                <w:sz w:val="20"/>
                <w:szCs w:val="20"/>
                <w:color w:val="auto"/>
              </w:rPr>
              <w:t>Other comprehensive (loss) income, net of tax:</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460" w:type="dxa"/>
            <w:vAlign w:val="bottom"/>
            <w:shd w:val="clear" w:color="auto" w:fill="E6E6E6"/>
          </w:tcPr>
          <w:p>
            <w:pPr>
              <w:ind w:left="400"/>
              <w:spacing w:after="0"/>
              <w:rPr>
                <w:sz w:val="20"/>
                <w:szCs w:val="20"/>
                <w:color w:val="auto"/>
              </w:rPr>
            </w:pPr>
            <w:r>
              <w:rPr>
                <w:rFonts w:ascii="Arial" w:cs="Arial" w:eastAsia="Arial" w:hAnsi="Arial"/>
                <w:sz w:val="20"/>
                <w:szCs w:val="20"/>
                <w:color w:val="auto"/>
              </w:rPr>
              <w:t>Unrealized gain (loss) on available-for-sale securities</w:t>
            </w:r>
          </w:p>
        </w:tc>
        <w:tc>
          <w:tcPr>
            <w:tcW w:w="2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w:t>
            </w:r>
          </w:p>
        </w:tc>
        <w:tc>
          <w:tcPr>
            <w:tcW w:w="10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559</w:t>
            </w:r>
          </w:p>
        </w:tc>
        <w:tc>
          <w:tcPr>
            <w:tcW w:w="10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(413)</w:t>
            </w:r>
          </w:p>
        </w:tc>
        <w:tc>
          <w:tcPr>
            <w:tcW w:w="0" w:type="dxa"/>
            <w:vAlign w:val="bottom"/>
          </w:tcPr>
          <w:p>
            <w:pPr>
              <w:spacing w:after="0"/>
              <w:rPr>
                <w:sz w:val="1"/>
                <w:szCs w:val="1"/>
                <w:color w:val="auto"/>
              </w:rPr>
            </w:pPr>
          </w:p>
        </w:tc>
      </w:tr>
      <w:tr>
        <w:trPr>
          <w:trHeight w:val="275"/>
        </w:trPr>
        <w:tc>
          <w:tcPr>
            <w:tcW w:w="6460" w:type="dxa"/>
            <w:vAlign w:val="bottom"/>
          </w:tcPr>
          <w:p>
            <w:pPr>
              <w:ind w:left="400"/>
              <w:spacing w:after="0"/>
              <w:rPr>
                <w:sz w:val="20"/>
                <w:szCs w:val="20"/>
                <w:color w:val="auto"/>
              </w:rPr>
            </w:pPr>
            <w:r>
              <w:rPr>
                <w:rFonts w:ascii="Arial" w:cs="Arial" w:eastAsia="Arial" w:hAnsi="Arial"/>
                <w:sz w:val="20"/>
                <w:szCs w:val="20"/>
                <w:color w:val="auto"/>
              </w:rPr>
              <w:t>Unrealized gain on fair value of interest rate hedges</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12,056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5,163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61,124</w:t>
            </w:r>
          </w:p>
        </w:tc>
        <w:tc>
          <w:tcPr>
            <w:tcW w:w="0" w:type="dxa"/>
            <w:vAlign w:val="bottom"/>
          </w:tcPr>
          <w:p>
            <w:pPr>
              <w:spacing w:after="0"/>
              <w:rPr>
                <w:sz w:val="1"/>
                <w:szCs w:val="1"/>
                <w:color w:val="auto"/>
              </w:rPr>
            </w:pPr>
          </w:p>
        </w:tc>
      </w:tr>
      <w:tr>
        <w:trPr>
          <w:trHeight w:val="225"/>
        </w:trPr>
        <w:tc>
          <w:tcPr>
            <w:tcW w:w="6460" w:type="dxa"/>
            <w:vAlign w:val="bottom"/>
            <w:shd w:val="clear" w:color="auto" w:fill="E6E6E6"/>
          </w:tcPr>
          <w:p>
            <w:pPr>
              <w:ind w:left="400"/>
              <w:spacing w:after="0" w:line="225" w:lineRule="exact"/>
              <w:rPr>
                <w:sz w:val="20"/>
                <w:szCs w:val="20"/>
                <w:color w:val="auto"/>
              </w:rPr>
            </w:pPr>
            <w:r>
              <w:rPr>
                <w:rFonts w:ascii="Arial" w:cs="Arial" w:eastAsia="Arial" w:hAnsi="Arial"/>
                <w:sz w:val="20"/>
                <w:szCs w:val="20"/>
                <w:color w:val="auto"/>
                <w:w w:val="92"/>
              </w:rPr>
              <w:t>Reclassification adjustment for interest rate hedge amounts realized in net</w:t>
            </w:r>
          </w:p>
        </w:tc>
        <w:tc>
          <w:tcPr>
            <w:tcW w:w="280" w:type="dxa"/>
            <w:vAlign w:val="bottom"/>
            <w:shd w:val="clear" w:color="auto" w:fill="E6E6E6"/>
          </w:tcPr>
          <w:p>
            <w:pPr>
              <w:spacing w:after="0"/>
              <w:rPr>
                <w:sz w:val="19"/>
                <w:szCs w:val="19"/>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(14,295)</w:t>
            </w:r>
          </w:p>
        </w:tc>
        <w:tc>
          <w:tcPr>
            <w:tcW w:w="10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(16,425)</w:t>
            </w:r>
          </w:p>
        </w:tc>
        <w:tc>
          <w:tcPr>
            <w:tcW w:w="10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(683)</w:t>
            </w:r>
          </w:p>
        </w:tc>
        <w:tc>
          <w:tcPr>
            <w:tcW w:w="0" w:type="dxa"/>
            <w:vAlign w:val="bottom"/>
          </w:tcPr>
          <w:p>
            <w:pPr>
              <w:spacing w:after="0"/>
              <w:rPr>
                <w:sz w:val="1"/>
                <w:szCs w:val="1"/>
                <w:color w:val="auto"/>
              </w:rPr>
            </w:pPr>
          </w:p>
        </w:tc>
      </w:tr>
      <w:tr>
        <w:trPr>
          <w:trHeight w:val="269"/>
        </w:trPr>
        <w:tc>
          <w:tcPr>
            <w:tcW w:w="6460" w:type="dxa"/>
            <w:vAlign w:val="bottom"/>
            <w:shd w:val="clear" w:color="auto" w:fill="E6E6E6"/>
          </w:tcPr>
          <w:p>
            <w:pPr>
              <w:ind w:left="400"/>
              <w:spacing w:after="0"/>
              <w:rPr>
                <w:sz w:val="20"/>
                <w:szCs w:val="20"/>
                <w:color w:val="auto"/>
              </w:rPr>
            </w:pPr>
            <w:r>
              <w:rPr>
                <w:rFonts w:ascii="Arial" w:cs="Arial" w:eastAsia="Arial" w:hAnsi="Arial"/>
                <w:sz w:val="20"/>
                <w:szCs w:val="20"/>
                <w:color w:val="auto"/>
              </w:rPr>
              <w:t>income</w:t>
            </w:r>
          </w:p>
        </w:tc>
        <w:tc>
          <w:tcPr>
            <w:tcW w:w="280" w:type="dxa"/>
            <w:vAlign w:val="bottom"/>
            <w:shd w:val="clear" w:color="auto" w:fill="E6E6E6"/>
          </w:tcPr>
          <w:p>
            <w:pPr>
              <w:spacing w:after="0"/>
              <w:rPr>
                <w:sz w:val="23"/>
                <w:szCs w:val="23"/>
                <w:color w:val="auto"/>
              </w:rPr>
            </w:pPr>
          </w:p>
        </w:tc>
        <w:tc>
          <w:tcPr>
            <w:tcW w:w="860" w:type="dxa"/>
            <w:vAlign w:val="bottom"/>
            <w:vMerge w:val="continue"/>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860" w:type="dxa"/>
            <w:vAlign w:val="bottom"/>
            <w:vMerge w:val="continue"/>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8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460" w:type="dxa"/>
            <w:vAlign w:val="bottom"/>
          </w:tcPr>
          <w:p>
            <w:pPr>
              <w:ind w:left="400"/>
              <w:spacing w:after="0"/>
              <w:rPr>
                <w:sz w:val="20"/>
                <w:szCs w:val="20"/>
                <w:color w:val="auto"/>
              </w:rPr>
            </w:pPr>
            <w:r>
              <w:rPr>
                <w:rFonts w:ascii="Arial" w:cs="Arial" w:eastAsia="Arial" w:hAnsi="Arial"/>
                <w:sz w:val="20"/>
                <w:szCs w:val="20"/>
                <w:color w:val="auto"/>
              </w:rPr>
              <w:t>Reclassification adjustment for settlement of interest rate hedges</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(5,905)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7"/>
        </w:trPr>
        <w:tc>
          <w:tcPr>
            <w:tcW w:w="6460" w:type="dxa"/>
            <w:vAlign w:val="bottom"/>
            <w:shd w:val="clear" w:color="auto" w:fill="E6E6E6"/>
          </w:tcPr>
          <w:p>
            <w:pPr>
              <w:ind w:left="400"/>
              <w:spacing w:after="0"/>
              <w:rPr>
                <w:sz w:val="20"/>
                <w:szCs w:val="20"/>
                <w:color w:val="auto"/>
              </w:rPr>
            </w:pPr>
            <w:r>
              <w:rPr>
                <w:rFonts w:ascii="Arial" w:cs="Arial" w:eastAsia="Arial" w:hAnsi="Arial"/>
                <w:sz w:val="20"/>
                <w:szCs w:val="20"/>
                <w:color w:val="auto"/>
              </w:rPr>
              <w:t>Pension adjustments</w:t>
            </w:r>
          </w:p>
        </w:tc>
        <w:tc>
          <w:tcPr>
            <w:tcW w:w="2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269</w:t>
            </w:r>
          </w:p>
        </w:tc>
        <w:tc>
          <w:tcPr>
            <w:tcW w:w="10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(550)</w:t>
            </w:r>
          </w:p>
        </w:tc>
        <w:tc>
          <w:tcPr>
            <w:tcW w:w="10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318</w:t>
            </w:r>
          </w:p>
        </w:tc>
        <w:tc>
          <w:tcPr>
            <w:tcW w:w="0" w:type="dxa"/>
            <w:vAlign w:val="bottom"/>
          </w:tcPr>
          <w:p>
            <w:pPr>
              <w:spacing w:after="0"/>
              <w:rPr>
                <w:sz w:val="1"/>
                <w:szCs w:val="1"/>
                <w:color w:val="auto"/>
              </w:rPr>
            </w:pPr>
          </w:p>
        </w:tc>
      </w:tr>
      <w:tr>
        <w:trPr>
          <w:trHeight w:val="271"/>
        </w:trPr>
        <w:tc>
          <w:tcPr>
            <w:tcW w:w="6460" w:type="dxa"/>
            <w:vAlign w:val="bottom"/>
            <w:tcBorders>
              <w:bottom w:val="single" w:sz="8" w:color="E6E6E6"/>
            </w:tcBorders>
          </w:tcPr>
          <w:p>
            <w:pPr>
              <w:ind w:left="400"/>
              <w:spacing w:after="0"/>
              <w:rPr>
                <w:sz w:val="20"/>
                <w:szCs w:val="20"/>
                <w:color w:val="auto"/>
              </w:rPr>
            </w:pPr>
            <w:r>
              <w:rPr>
                <w:rFonts w:ascii="Arial" w:cs="Arial" w:eastAsia="Arial" w:hAnsi="Arial"/>
                <w:sz w:val="20"/>
                <w:szCs w:val="20"/>
                <w:color w:val="auto"/>
              </w:rPr>
              <w:t>Foreign currency translation adjustments</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(36,363)</w:t>
            </w:r>
          </w:p>
        </w:tc>
        <w:tc>
          <w:tcPr>
            <w:tcW w:w="10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9,000</w:t>
            </w:r>
          </w:p>
        </w:tc>
        <w:tc>
          <w:tcPr>
            <w:tcW w:w="10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(31,515)</w:t>
            </w:r>
          </w:p>
        </w:tc>
        <w:tc>
          <w:tcPr>
            <w:tcW w:w="0" w:type="dxa"/>
            <w:vAlign w:val="bottom"/>
          </w:tcPr>
          <w:p>
            <w:pPr>
              <w:spacing w:after="0"/>
              <w:rPr>
                <w:sz w:val="1"/>
                <w:szCs w:val="1"/>
                <w:color w:val="auto"/>
              </w:rPr>
            </w:pPr>
          </w:p>
        </w:tc>
      </w:tr>
      <w:tr>
        <w:trPr>
          <w:trHeight w:val="280"/>
        </w:trPr>
        <w:tc>
          <w:tcPr>
            <w:tcW w:w="64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Other comprehensive (loss) income, net of tax</w:t>
            </w:r>
          </w:p>
        </w:tc>
        <w:tc>
          <w:tcPr>
            <w:tcW w:w="28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(38,296)</w:t>
            </w:r>
          </w:p>
        </w:tc>
        <w:tc>
          <w:tcPr>
            <w:tcW w:w="10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(8,158)</w:t>
            </w:r>
          </w:p>
        </w:tc>
        <w:tc>
          <w:tcPr>
            <w:tcW w:w="10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28,831</w:t>
            </w:r>
          </w:p>
        </w:tc>
        <w:tc>
          <w:tcPr>
            <w:tcW w:w="0" w:type="dxa"/>
            <w:vAlign w:val="bottom"/>
          </w:tcPr>
          <w:p>
            <w:pPr>
              <w:spacing w:after="0"/>
              <w:rPr>
                <w:sz w:val="1"/>
                <w:szCs w:val="1"/>
                <w:color w:val="auto"/>
              </w:rPr>
            </w:pPr>
          </w:p>
        </w:tc>
      </w:tr>
      <w:tr>
        <w:trPr>
          <w:trHeight w:val="222"/>
        </w:trPr>
        <w:tc>
          <w:tcPr>
            <w:tcW w:w="6460" w:type="dxa"/>
            <w:vAlign w:val="bottom"/>
          </w:tcPr>
          <w:p>
            <w:pPr>
              <w:ind w:left="180"/>
              <w:spacing w:after="0" w:line="222" w:lineRule="exact"/>
              <w:rPr>
                <w:sz w:val="20"/>
                <w:szCs w:val="20"/>
                <w:color w:val="auto"/>
              </w:rPr>
            </w:pPr>
            <w:r>
              <w:rPr>
                <w:rFonts w:ascii="Arial" w:cs="Arial" w:eastAsia="Arial" w:hAnsi="Arial"/>
                <w:sz w:val="20"/>
                <w:szCs w:val="20"/>
                <w:color w:val="auto"/>
              </w:rPr>
              <w:t>Comprehensive income</w:t>
            </w:r>
          </w:p>
        </w:tc>
        <w:tc>
          <w:tcPr>
            <w:tcW w:w="280" w:type="dxa"/>
            <w:vAlign w:val="bottom"/>
          </w:tcPr>
          <w:p>
            <w:pPr>
              <w:jc w:val="right"/>
              <w:ind w:right="41"/>
              <w:spacing w:after="0" w:line="222" w:lineRule="exact"/>
              <w:rPr>
                <w:sz w:val="20"/>
                <w:szCs w:val="20"/>
                <w:color w:val="auto"/>
              </w:rPr>
            </w:pPr>
            <w:r>
              <w:rPr>
                <w:rFonts w:ascii="Arial" w:cs="Arial" w:eastAsia="Arial" w:hAnsi="Arial"/>
                <w:sz w:val="20"/>
                <w:szCs w:val="20"/>
                <w:color w:val="auto"/>
              </w:rPr>
              <w:t>$</w:t>
            </w:r>
          </w:p>
        </w:tc>
        <w:tc>
          <w:tcPr>
            <w:tcW w:w="860" w:type="dxa"/>
            <w:vAlign w:val="bottom"/>
          </w:tcPr>
          <w:p>
            <w:pPr>
              <w:jc w:val="right"/>
              <w:spacing w:after="0" w:line="222" w:lineRule="exact"/>
              <w:rPr>
                <w:sz w:val="20"/>
                <w:szCs w:val="20"/>
                <w:color w:val="auto"/>
              </w:rPr>
            </w:pPr>
            <w:r>
              <w:rPr>
                <w:rFonts w:ascii="Arial" w:cs="Arial" w:eastAsia="Arial" w:hAnsi="Arial"/>
                <w:sz w:val="20"/>
                <w:szCs w:val="20"/>
                <w:color w:val="auto"/>
              </w:rPr>
              <w:t>364,003</w:t>
            </w:r>
          </w:p>
        </w:tc>
        <w:tc>
          <w:tcPr>
            <w:tcW w:w="380" w:type="dxa"/>
            <w:vAlign w:val="bottom"/>
            <w:gridSpan w:val="2"/>
          </w:tcPr>
          <w:p>
            <w:pPr>
              <w:jc w:val="right"/>
              <w:ind w:right="140"/>
              <w:spacing w:after="0" w:line="222" w:lineRule="exact"/>
              <w:rPr>
                <w:sz w:val="20"/>
                <w:szCs w:val="20"/>
                <w:color w:val="auto"/>
              </w:rPr>
            </w:pPr>
            <w:r>
              <w:rPr>
                <w:rFonts w:ascii="Arial" w:cs="Arial" w:eastAsia="Arial" w:hAnsi="Arial"/>
                <w:sz w:val="20"/>
                <w:szCs w:val="20"/>
                <w:color w:val="auto"/>
              </w:rPr>
              <w:t>$</w:t>
            </w:r>
          </w:p>
        </w:tc>
        <w:tc>
          <w:tcPr>
            <w:tcW w:w="860" w:type="dxa"/>
            <w:vAlign w:val="bottom"/>
          </w:tcPr>
          <w:p>
            <w:pPr>
              <w:jc w:val="right"/>
              <w:spacing w:after="0" w:line="222" w:lineRule="exact"/>
              <w:rPr>
                <w:sz w:val="20"/>
                <w:szCs w:val="20"/>
                <w:color w:val="auto"/>
              </w:rPr>
            </w:pPr>
            <w:r>
              <w:rPr>
                <w:rFonts w:ascii="Arial" w:cs="Arial" w:eastAsia="Arial" w:hAnsi="Arial"/>
                <w:sz w:val="20"/>
                <w:szCs w:val="20"/>
                <w:color w:val="auto"/>
              </w:rPr>
              <w:t>369,698</w:t>
            </w:r>
          </w:p>
        </w:tc>
        <w:tc>
          <w:tcPr>
            <w:tcW w:w="38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w:t>
            </w:r>
          </w:p>
        </w:tc>
        <w:tc>
          <w:tcPr>
            <w:tcW w:w="860" w:type="dxa"/>
            <w:vAlign w:val="bottom"/>
          </w:tcPr>
          <w:p>
            <w:pPr>
              <w:jc w:val="right"/>
              <w:spacing w:after="0" w:line="222" w:lineRule="exact"/>
              <w:rPr>
                <w:sz w:val="20"/>
                <w:szCs w:val="20"/>
                <w:color w:val="auto"/>
              </w:rPr>
            </w:pPr>
            <w:r>
              <w:rPr>
                <w:rFonts w:ascii="Arial" w:cs="Arial" w:eastAsia="Arial" w:hAnsi="Arial"/>
                <w:sz w:val="20"/>
                <w:szCs w:val="20"/>
                <w:color w:val="auto"/>
              </w:rPr>
              <w:t>440,575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-43180</wp:posOffset>
            </wp:positionV>
            <wp:extent cx="2324100" cy="50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24100" cy="5016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10080"/>
          </w:cols>
          <w:pgMar w:left="900" w:top="56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880" w:h="15480" w:orient="portrait"/>
          <w:cols w:equalWidth="0" w:num="1">
            <w:col w:w="10080"/>
          </w:cols>
          <w:pgMar w:left="900" w:top="568" w:right="900" w:bottom="0" w:gutter="0" w:footer="0" w:header="0"/>
          <w:type w:val="continuous"/>
        </w:sectPr>
      </w:pPr>
    </w:p>
    <w:bookmarkStart w:id="61" w:name="page62"/>
    <w:bookmarkEnd w:id="61"/>
    <w:p>
      <w:pPr>
        <w:ind w:left="2980"/>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411"/>
              <w:spacing w:after="0"/>
              <w:rPr>
                <w:sz w:val="20"/>
                <w:szCs w:val="20"/>
                <w:color w:val="auto"/>
              </w:rPr>
            </w:pPr>
            <w:r>
              <w:rPr>
                <w:rFonts w:ascii="Arial" w:cs="Arial" w:eastAsia="Arial" w:hAnsi="Arial"/>
                <w:sz w:val="18"/>
                <w:szCs w:val="18"/>
                <w:b w:val="1"/>
                <w:bCs w:val="1"/>
                <w:color w:val="auto"/>
                <w:w w:val="94"/>
              </w:rPr>
              <w:t>For the years ended December 31,</w:t>
            </w:r>
          </w:p>
        </w:tc>
      </w:tr>
      <w:tr>
        <w:trPr>
          <w:trHeight w:val="202"/>
        </w:trPr>
        <w:tc>
          <w:tcPr>
            <w:tcW w:w="652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1"/>
              <w:spacing w:after="0" w:line="202" w:lineRule="exact"/>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line="202" w:lineRule="exact"/>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line="202" w:lineRule="exact"/>
              <w:rPr>
                <w:sz w:val="20"/>
                <w:szCs w:val="20"/>
                <w:color w:val="auto"/>
              </w:rPr>
            </w:pPr>
            <w:r>
              <w:rPr>
                <w:rFonts w:ascii="Arial" w:cs="Arial" w:eastAsia="Arial" w:hAnsi="Arial"/>
                <w:sz w:val="18"/>
                <w:szCs w:val="18"/>
                <w:b w:val="1"/>
                <w:bCs w:val="1"/>
                <w:color w:val="auto"/>
              </w:rPr>
              <w:t>2022</w:t>
            </w:r>
          </w:p>
        </w:tc>
      </w:tr>
      <w:tr>
        <w:trPr>
          <w:trHeight w:val="211"/>
        </w:trPr>
        <w:tc>
          <w:tcPr>
            <w:tcW w:w="6520" w:type="dxa"/>
            <w:vAlign w:val="bottom"/>
            <w:shd w:val="clear" w:color="auto" w:fill="E6E6E6"/>
          </w:tcPr>
          <w:p>
            <w:pPr>
              <w:ind w:left="6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r>
      <w:tr>
        <w:trPr>
          <w:trHeight w:val="222"/>
        </w:trPr>
        <w:tc>
          <w:tcPr>
            <w:tcW w:w="65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402,299</w:t>
            </w:r>
          </w:p>
        </w:tc>
        <w:tc>
          <w:tcPr>
            <w:tcW w:w="3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377,856</w:t>
            </w:r>
          </w:p>
        </w:tc>
        <w:tc>
          <w:tcPr>
            <w:tcW w:w="3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411,744</w:t>
            </w:r>
          </w:p>
        </w:tc>
      </w:tr>
      <w:tr>
        <w:trPr>
          <w:trHeight w:val="222"/>
        </w:trPr>
        <w:tc>
          <w:tcPr>
            <w:tcW w:w="6520" w:type="dxa"/>
            <w:vAlign w:val="bottom"/>
            <w:shd w:val="clear" w:color="auto" w:fill="E6E6E6"/>
          </w:tcPr>
          <w:p>
            <w:pPr>
              <w:ind w:left="20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400,922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365,761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347,594</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Allowance for doubtful accounts</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8,129</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5,956</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7,783</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Amortization of deferred financing costs and debt discount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6,301</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Accretion of environmental liabilities</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13,456</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13,667</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12,943</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Changes in environmental liability estimates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8,272</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18,437</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12,685</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17,549</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(2,472)</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27,981</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20,703</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26,844</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Gain on sale of business</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(8,864)</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Environmental expenditures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(13,946)</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Changes in assets and liabilities, net of acquisitions:</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r>
      <w:tr>
        <w:trPr>
          <w:trHeight w:val="222"/>
        </w:trPr>
        <w:tc>
          <w:tcPr>
            <w:tcW w:w="6520" w:type="dxa"/>
            <w:vAlign w:val="bottom"/>
          </w:tcPr>
          <w:p>
            <w:pPr>
              <w:ind w:left="540"/>
              <w:spacing w:after="0"/>
              <w:rPr>
                <w:sz w:val="20"/>
                <w:szCs w:val="20"/>
                <w:color w:val="auto"/>
              </w:rPr>
            </w:pPr>
            <w:r>
              <w:rPr>
                <w:rFonts w:ascii="Arial" w:cs="Arial" w:eastAsia="Arial" w:hAnsi="Arial"/>
                <w:sz w:val="18"/>
                <w:szCs w:val="18"/>
                <w:color w:val="auto"/>
              </w:rPr>
              <w:t>Accounts receivable and unbilled accounts receivable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(201,087)</w:t>
            </w:r>
          </w:p>
        </w:tc>
      </w:tr>
      <w:tr>
        <w:trPr>
          <w:trHeight w:val="222"/>
        </w:trPr>
        <w:tc>
          <w:tcPr>
            <w:tcW w:w="6520" w:type="dxa"/>
            <w:vAlign w:val="bottom"/>
            <w:shd w:val="clear" w:color="auto" w:fill="E6E6E6"/>
          </w:tcPr>
          <w:p>
            <w:pPr>
              <w:ind w:left="540"/>
              <w:spacing w:after="0"/>
              <w:rPr>
                <w:sz w:val="20"/>
                <w:szCs w:val="20"/>
                <w:color w:val="auto"/>
              </w:rPr>
            </w:pPr>
            <w:r>
              <w:rPr>
                <w:rFonts w:ascii="Arial" w:cs="Arial" w:eastAsia="Arial" w:hAnsi="Arial"/>
                <w:sz w:val="18"/>
                <w:szCs w:val="18"/>
                <w:color w:val="auto"/>
              </w:rPr>
              <w:t>Inventories and supplies</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(49,588)</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(4,312)</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(74,547)</w:t>
            </w:r>
          </w:p>
        </w:tc>
      </w:tr>
      <w:tr>
        <w:trPr>
          <w:trHeight w:val="222"/>
        </w:trPr>
        <w:tc>
          <w:tcPr>
            <w:tcW w:w="6520" w:type="dxa"/>
            <w:vAlign w:val="bottom"/>
          </w:tcPr>
          <w:p>
            <w:pPr>
              <w:ind w:left="540"/>
              <w:spacing w:after="0"/>
              <w:rPr>
                <w:sz w:val="20"/>
                <w:szCs w:val="20"/>
                <w:color w:val="auto"/>
              </w:rPr>
            </w:pPr>
            <w:r>
              <w:rPr>
                <w:rFonts w:ascii="Arial" w:cs="Arial" w:eastAsia="Arial" w:hAnsi="Arial"/>
                <w:sz w:val="18"/>
                <w:szCs w:val="18"/>
                <w:color w:val="auto"/>
              </w:rPr>
              <w:t>Other current and non-current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(17,303)</w:t>
            </w:r>
          </w:p>
        </w:tc>
      </w:tr>
      <w:tr>
        <w:trPr>
          <w:trHeight w:val="222"/>
        </w:trPr>
        <w:tc>
          <w:tcPr>
            <w:tcW w:w="6520" w:type="dxa"/>
            <w:vAlign w:val="bottom"/>
            <w:shd w:val="clear" w:color="auto" w:fill="E6E6E6"/>
          </w:tcPr>
          <w:p>
            <w:pPr>
              <w:ind w:left="5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12,327</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(27,425)</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74,460</w:t>
            </w:r>
          </w:p>
        </w:tc>
      </w:tr>
      <w:tr>
        <w:trPr>
          <w:trHeight w:val="212"/>
        </w:trPr>
        <w:tc>
          <w:tcPr>
            <w:tcW w:w="6520" w:type="dxa"/>
            <w:vAlign w:val="bottom"/>
            <w:tcBorders>
              <w:bottom w:val="single" w:sz="8" w:color="E6E6E6"/>
            </w:tcBorders>
          </w:tcPr>
          <w:p>
            <w:pPr>
              <w:ind w:left="540"/>
              <w:spacing w:after="0"/>
              <w:rPr>
                <w:sz w:val="20"/>
                <w:szCs w:val="20"/>
                <w:color w:val="auto"/>
              </w:rPr>
            </w:pPr>
            <w:r>
              <w:rPr>
                <w:rFonts w:ascii="Arial" w:cs="Arial" w:eastAsia="Arial" w:hAnsi="Arial"/>
                <w:sz w:val="18"/>
                <w:szCs w:val="18"/>
                <w:color w:val="auto"/>
              </w:rPr>
              <w:t>Other current and long-term liabilities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45,087</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30,521</w:t>
            </w:r>
          </w:p>
        </w:tc>
      </w:tr>
      <w:tr>
        <w:trPr>
          <w:trHeight w:val="222"/>
        </w:trPr>
        <w:tc>
          <w:tcPr>
            <w:tcW w:w="6520" w:type="dxa"/>
            <w:vAlign w:val="bottom"/>
            <w:tcBorders>
              <w:bottom w:val="single" w:sz="8" w:color="E6E6E6"/>
            </w:tcBorders>
            <w:shd w:val="clear" w:color="auto" w:fill="E6E6E6"/>
          </w:tcPr>
          <w:p>
            <w:pPr>
              <w:ind w:left="540"/>
              <w:spacing w:after="0" w:line="201" w:lineRule="exact"/>
              <w:rPr>
                <w:sz w:val="20"/>
                <w:szCs w:val="20"/>
                <w:color w:val="auto"/>
              </w:rPr>
            </w:pPr>
            <w:r>
              <w:rPr>
                <w:rFonts w:ascii="Arial" w:cs="Arial" w:eastAsia="Arial" w:hAnsi="Arial"/>
                <w:sz w:val="18"/>
                <w:szCs w:val="18"/>
                <w:color w:val="auto"/>
              </w:rPr>
              <w:t>Net cash from operating activities</w:t>
            </w:r>
          </w:p>
        </w:tc>
        <w:tc>
          <w:tcPr>
            <w:tcW w:w="26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line="201" w:lineRule="exact"/>
              <w:rPr>
                <w:sz w:val="20"/>
                <w:szCs w:val="20"/>
                <w:color w:val="auto"/>
              </w:rPr>
            </w:pPr>
            <w:r>
              <w:rPr>
                <w:rFonts w:ascii="Arial" w:cs="Arial" w:eastAsia="Arial" w:hAnsi="Arial"/>
                <w:sz w:val="18"/>
                <w:szCs w:val="18"/>
                <w:color w:val="auto"/>
              </w:rPr>
              <w:t>777,771</w:t>
            </w:r>
          </w:p>
        </w:tc>
        <w:tc>
          <w:tcPr>
            <w:tcW w:w="80" w:type="dxa"/>
            <w:vAlign w:val="bottom"/>
            <w:tcBorders>
              <w:bottom w:val="single" w:sz="8" w:color="E6E6E6"/>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spacing w:after="0"/>
              <w:rPr>
                <w:sz w:val="19"/>
                <w:szCs w:val="19"/>
                <w:color w:val="auto"/>
              </w:rPr>
            </w:pPr>
          </w:p>
        </w:tc>
        <w:tc>
          <w:tcPr>
            <w:tcW w:w="880" w:type="dxa"/>
            <w:vAlign w:val="bottom"/>
            <w:tcBorders>
              <w:bottom w:val="single" w:sz="8" w:color="auto"/>
            </w:tcBorders>
            <w:shd w:val="clear" w:color="auto" w:fill="E6E6E6"/>
          </w:tcPr>
          <w:p>
            <w:pPr>
              <w:jc w:val="right"/>
              <w:spacing w:after="0" w:line="201" w:lineRule="exact"/>
              <w:rPr>
                <w:sz w:val="20"/>
                <w:szCs w:val="20"/>
                <w:color w:val="auto"/>
              </w:rPr>
            </w:pPr>
            <w:r>
              <w:rPr>
                <w:rFonts w:ascii="Arial" w:cs="Arial" w:eastAsia="Arial" w:hAnsi="Arial"/>
                <w:sz w:val="18"/>
                <w:szCs w:val="18"/>
                <w:color w:val="auto"/>
              </w:rPr>
              <w:t>734,552</w:t>
            </w:r>
          </w:p>
        </w:tc>
        <w:tc>
          <w:tcPr>
            <w:tcW w:w="80" w:type="dxa"/>
            <w:vAlign w:val="bottom"/>
            <w:tcBorders>
              <w:bottom w:val="single" w:sz="8" w:color="E6E6E6"/>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spacing w:after="0"/>
              <w:rPr>
                <w:sz w:val="19"/>
                <w:szCs w:val="19"/>
                <w:color w:val="auto"/>
              </w:rPr>
            </w:pPr>
          </w:p>
        </w:tc>
        <w:tc>
          <w:tcPr>
            <w:tcW w:w="880" w:type="dxa"/>
            <w:vAlign w:val="bottom"/>
            <w:tcBorders>
              <w:bottom w:val="single" w:sz="8" w:color="auto"/>
            </w:tcBorders>
            <w:shd w:val="clear" w:color="auto" w:fill="E6E6E6"/>
          </w:tcPr>
          <w:p>
            <w:pPr>
              <w:jc w:val="right"/>
              <w:spacing w:after="0" w:line="201" w:lineRule="exact"/>
              <w:rPr>
                <w:sz w:val="20"/>
                <w:szCs w:val="20"/>
                <w:color w:val="auto"/>
              </w:rPr>
            </w:pPr>
            <w:r>
              <w:rPr>
                <w:rFonts w:ascii="Arial" w:cs="Arial" w:eastAsia="Arial" w:hAnsi="Arial"/>
                <w:sz w:val="18"/>
                <w:szCs w:val="18"/>
                <w:color w:val="auto"/>
              </w:rPr>
              <w:t>626,214</w:t>
            </w:r>
          </w:p>
        </w:tc>
      </w:tr>
      <w:tr>
        <w:trPr>
          <w:trHeight w:val="191"/>
        </w:trPr>
        <w:tc>
          <w:tcPr>
            <w:tcW w:w="6520" w:type="dxa"/>
            <w:vAlign w:val="bottom"/>
          </w:tcPr>
          <w:p>
            <w:pPr>
              <w:ind w:left="60"/>
              <w:spacing w:after="0" w:line="192" w:lineRule="exact"/>
              <w:rPr>
                <w:sz w:val="20"/>
                <w:szCs w:val="20"/>
                <w:color w:val="auto"/>
              </w:rPr>
            </w:pPr>
            <w:r>
              <w:rPr>
                <w:rFonts w:ascii="Arial" w:cs="Arial" w:eastAsia="Arial" w:hAnsi="Arial"/>
                <w:sz w:val="18"/>
                <w:szCs w:val="18"/>
                <w:color w:val="auto"/>
              </w:rPr>
              <w:t>Cash flows used in investing activities: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(432,241)</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(422,300)</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(345,056)</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Proceeds from sale and disposal of fixed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8,779</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(478,011)</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(119,596)</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(86,278)</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Proceeds from sale of business, net of transaction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16,811</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Additions to intangible assets including costs to obtain or renew permits</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(9,607)</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(2,649)</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(1,966)</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(117,861)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(158,264)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(49,845)</w:t>
            </w:r>
          </w:p>
        </w:tc>
      </w:tr>
      <w:tr>
        <w:trPr>
          <w:trHeight w:val="232"/>
        </w:trPr>
        <w:tc>
          <w:tcPr>
            <w:tcW w:w="652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260" w:type="dxa"/>
            <w:vAlign w:val="bottom"/>
            <w:tcBorders>
              <w:bottom w:val="single" w:sz="8" w:color="auto"/>
            </w:tcBorders>
            <w:shd w:val="clear" w:color="auto" w:fill="E6E6E6"/>
          </w:tcPr>
          <w:p>
            <w:pPr>
              <w:spacing w:after="0"/>
              <w:rPr>
                <w:sz w:val="20"/>
                <w:szCs w:val="20"/>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124,197</w:t>
            </w:r>
          </w:p>
        </w:tc>
        <w:tc>
          <w:tcPr>
            <w:tcW w:w="8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spacing w:after="0"/>
              <w:rPr>
                <w:sz w:val="20"/>
                <w:szCs w:val="20"/>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117,359</w:t>
            </w:r>
          </w:p>
        </w:tc>
        <w:tc>
          <w:tcPr>
            <w:tcW w:w="8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spacing w:after="0"/>
              <w:rPr>
                <w:sz w:val="20"/>
                <w:szCs w:val="20"/>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68,611</w:t>
            </w:r>
          </w:p>
        </w:tc>
      </w:tr>
      <w:tr>
        <w:trPr>
          <w:trHeight w:val="182"/>
        </w:trPr>
        <w:tc>
          <w:tcPr>
            <w:tcW w:w="6520" w:type="dxa"/>
            <w:vAlign w:val="bottom"/>
            <w:tcBorders>
              <w:bottom w:val="single" w:sz="8" w:color="E6E6E6"/>
            </w:tcBorders>
          </w:tcPr>
          <w:p>
            <w:pPr>
              <w:ind w:left="540"/>
              <w:spacing w:after="0" w:line="182" w:lineRule="exact"/>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(903,674)</w:t>
            </w:r>
          </w:p>
        </w:tc>
        <w:tc>
          <w:tcPr>
            <w:tcW w:w="8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(575,050)</w:t>
            </w:r>
          </w:p>
        </w:tc>
        <w:tc>
          <w:tcPr>
            <w:tcW w:w="8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(388,944)</w:t>
            </w:r>
          </w:p>
        </w:tc>
      </w:tr>
      <w:tr>
        <w:trPr>
          <w:trHeight w:val="211"/>
        </w:trPr>
        <w:tc>
          <w:tcPr>
            <w:tcW w:w="6520" w:type="dxa"/>
            <w:vAlign w:val="bottom"/>
            <w:shd w:val="clear" w:color="auto" w:fill="E6E6E6"/>
          </w:tcPr>
          <w:p>
            <w:pPr>
              <w:ind w:left="60"/>
              <w:spacing w:after="0"/>
              <w:rPr>
                <w:sz w:val="20"/>
                <w:szCs w:val="20"/>
                <w:color w:val="auto"/>
              </w:rPr>
            </w:pPr>
            <w:r>
              <w:rPr>
                <w:rFonts w:ascii="Arial" w:cs="Arial" w:eastAsia="Arial" w:hAnsi="Arial"/>
                <w:sz w:val="18"/>
                <w:szCs w:val="18"/>
                <w:color w:val="auto"/>
              </w:rPr>
              <w:t>Cash flows from (used in) financing activities:</w:t>
            </w:r>
          </w:p>
        </w:tc>
        <w:tc>
          <w:tcPr>
            <w:tcW w:w="26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Change in uncashed checks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Tax payments related to withholdings on vested restricted stock</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(13,759)</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(13,838)</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(8,801)</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(50,183)</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Deferred financing costs paid</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(8,954)</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(6,736)</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(410)</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Payments on finance leases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(12,821)</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Proceeds from employee stock purchase plan</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3,009</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Principal payments on debt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(623,975)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(115,652)</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Proceeds from issuance of debt, net of discount</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499,375</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Borrowing from revolving credit facility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652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8"/>
                <w:szCs w:val="18"/>
                <w:color w:val="auto"/>
              </w:rPr>
              <w:t>Payment on revolving credit facility</w:t>
            </w:r>
          </w:p>
        </w:tc>
        <w:tc>
          <w:tcPr>
            <w:tcW w:w="260" w:type="dxa"/>
            <w:vAlign w:val="bottom"/>
            <w:tcBorders>
              <w:bottom w:val="single" w:sz="8" w:color="auto"/>
            </w:tcBorders>
            <w:shd w:val="clear" w:color="auto" w:fill="E6E6E6"/>
          </w:tcPr>
          <w:p>
            <w:pPr>
              <w:spacing w:after="0"/>
              <w:rPr>
                <w:sz w:val="20"/>
                <w:szCs w:val="20"/>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spacing w:after="0"/>
              <w:rPr>
                <w:sz w:val="20"/>
                <w:szCs w:val="20"/>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(114,000)</w:t>
            </w:r>
          </w:p>
        </w:tc>
        <w:tc>
          <w:tcPr>
            <w:tcW w:w="8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spacing w:after="0"/>
              <w:rPr>
                <w:sz w:val="20"/>
                <w:szCs w:val="20"/>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182"/>
        </w:trPr>
        <w:tc>
          <w:tcPr>
            <w:tcW w:w="6520" w:type="dxa"/>
            <w:vAlign w:val="bottom"/>
            <w:tcBorders>
              <w:bottom w:val="single" w:sz="8" w:color="E6E6E6"/>
            </w:tcBorders>
          </w:tcPr>
          <w:p>
            <w:pPr>
              <w:ind w:left="540"/>
              <w:spacing w:after="0" w:line="182" w:lineRule="exact"/>
              <w:rPr>
                <w:sz w:val="20"/>
                <w:szCs w:val="20"/>
                <w:color w:val="auto"/>
              </w:rPr>
            </w:pPr>
            <w:r>
              <w:rPr>
                <w:rFonts w:ascii="Arial" w:cs="Arial" w:eastAsia="Arial" w:hAnsi="Arial"/>
                <w:sz w:val="18"/>
                <w:szCs w:val="18"/>
                <w:color w:val="auto"/>
              </w:rPr>
              <w:t>Net cash from (used in) financing activities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377,032</w:t>
            </w:r>
          </w:p>
        </w:tc>
        <w:tc>
          <w:tcPr>
            <w:tcW w:w="8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(208,891)</w:t>
            </w:r>
          </w:p>
        </w:tc>
        <w:tc>
          <w:tcPr>
            <w:tcW w:w="8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(187,315)</w:t>
            </w:r>
          </w:p>
        </w:tc>
      </w:tr>
      <w:tr>
        <w:trPr>
          <w:trHeight w:val="222"/>
        </w:trPr>
        <w:tc>
          <w:tcPr>
            <w:tcW w:w="6520" w:type="dxa"/>
            <w:vAlign w:val="bottom"/>
            <w:tcBorders>
              <w:bottom w:val="single" w:sz="8" w:color="E6E6E6"/>
            </w:tcBorders>
            <w:shd w:val="clear" w:color="auto" w:fill="E6E6E6"/>
          </w:tcPr>
          <w:p>
            <w:pPr>
              <w:ind w:left="60"/>
              <w:spacing w:after="0" w:line="201" w:lineRule="exact"/>
              <w:rPr>
                <w:sz w:val="20"/>
                <w:szCs w:val="20"/>
                <w:color w:val="auto"/>
              </w:rPr>
            </w:pPr>
            <w:r>
              <w:rPr>
                <w:rFonts w:ascii="Arial" w:cs="Arial" w:eastAsia="Arial" w:hAnsi="Arial"/>
                <w:sz w:val="18"/>
                <w:szCs w:val="18"/>
                <w:color w:val="auto"/>
              </w:rPr>
              <w:t>Effect of exchange rate change on cash</w:t>
            </w:r>
          </w:p>
        </w:tc>
        <w:tc>
          <w:tcPr>
            <w:tcW w:w="260" w:type="dxa"/>
            <w:vAlign w:val="bottom"/>
            <w:tcBorders>
              <w:bottom w:val="single" w:sz="8" w:color="auto"/>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line="201" w:lineRule="exact"/>
              <w:rPr>
                <w:sz w:val="20"/>
                <w:szCs w:val="20"/>
                <w:color w:val="auto"/>
              </w:rPr>
            </w:pPr>
            <w:r>
              <w:rPr>
                <w:rFonts w:ascii="Arial" w:cs="Arial" w:eastAsia="Arial" w:hAnsi="Arial"/>
                <w:sz w:val="18"/>
                <w:szCs w:val="18"/>
                <w:color w:val="auto"/>
              </w:rPr>
              <w:t>(8,635)</w:t>
            </w:r>
          </w:p>
        </w:tc>
        <w:tc>
          <w:tcPr>
            <w:tcW w:w="80" w:type="dxa"/>
            <w:vAlign w:val="bottom"/>
            <w:tcBorders>
              <w:bottom w:val="single" w:sz="8" w:color="E6E6E6"/>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spacing w:after="0"/>
              <w:rPr>
                <w:sz w:val="19"/>
                <w:szCs w:val="19"/>
                <w:color w:val="auto"/>
              </w:rPr>
            </w:pPr>
          </w:p>
        </w:tc>
        <w:tc>
          <w:tcPr>
            <w:tcW w:w="880" w:type="dxa"/>
            <w:vAlign w:val="bottom"/>
            <w:tcBorders>
              <w:bottom w:val="single" w:sz="8" w:color="auto"/>
            </w:tcBorders>
            <w:shd w:val="clear" w:color="auto" w:fill="E6E6E6"/>
          </w:tcPr>
          <w:p>
            <w:pPr>
              <w:jc w:val="right"/>
              <w:spacing w:after="0" w:line="201" w:lineRule="exact"/>
              <w:rPr>
                <w:sz w:val="20"/>
                <w:szCs w:val="20"/>
                <w:color w:val="auto"/>
              </w:rPr>
            </w:pPr>
            <w:r>
              <w:rPr>
                <w:rFonts w:ascii="Arial" w:cs="Arial" w:eastAsia="Arial" w:hAnsi="Arial"/>
                <w:sz w:val="18"/>
                <w:szCs w:val="18"/>
                <w:color w:val="auto"/>
              </w:rPr>
              <w:t>1,484</w:t>
            </w:r>
          </w:p>
        </w:tc>
        <w:tc>
          <w:tcPr>
            <w:tcW w:w="80" w:type="dxa"/>
            <w:vAlign w:val="bottom"/>
            <w:tcBorders>
              <w:bottom w:val="single" w:sz="8" w:color="E6E6E6"/>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spacing w:after="0"/>
              <w:rPr>
                <w:sz w:val="19"/>
                <w:szCs w:val="19"/>
                <w:color w:val="auto"/>
              </w:rPr>
            </w:pPr>
          </w:p>
        </w:tc>
        <w:tc>
          <w:tcPr>
            <w:tcW w:w="880" w:type="dxa"/>
            <w:vAlign w:val="bottom"/>
            <w:tcBorders>
              <w:bottom w:val="single" w:sz="8" w:color="auto"/>
            </w:tcBorders>
            <w:shd w:val="clear" w:color="auto" w:fill="E6E6E6"/>
          </w:tcPr>
          <w:p>
            <w:pPr>
              <w:jc w:val="right"/>
              <w:spacing w:after="0" w:line="201" w:lineRule="exact"/>
              <w:rPr>
                <w:sz w:val="20"/>
                <w:szCs w:val="20"/>
                <w:color w:val="auto"/>
              </w:rPr>
            </w:pPr>
            <w:r>
              <w:rPr>
                <w:rFonts w:ascii="Arial" w:cs="Arial" w:eastAsia="Arial" w:hAnsi="Arial"/>
                <w:sz w:val="18"/>
                <w:szCs w:val="18"/>
                <w:color w:val="auto"/>
              </w:rPr>
              <w:t>(9,927)</w:t>
            </w:r>
          </w:p>
        </w:tc>
      </w:tr>
      <w:tr>
        <w:trPr>
          <w:trHeight w:val="191"/>
        </w:trPr>
        <w:tc>
          <w:tcPr>
            <w:tcW w:w="6520" w:type="dxa"/>
            <w:vAlign w:val="bottom"/>
          </w:tcPr>
          <w:p>
            <w:pPr>
              <w:ind w:left="60"/>
              <w:spacing w:after="0" w:line="192" w:lineRule="exact"/>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16"/>
                <w:szCs w:val="16"/>
                <w:color w:val="auto"/>
              </w:rPr>
            </w:pPr>
          </w:p>
        </w:tc>
        <w:tc>
          <w:tcPr>
            <w:tcW w:w="860" w:type="dxa"/>
            <w:vAlign w:val="bottom"/>
          </w:tcPr>
          <w:p>
            <w:pPr>
              <w:jc w:val="right"/>
              <w:spacing w:after="0" w:line="192" w:lineRule="exact"/>
              <w:rPr>
                <w:sz w:val="20"/>
                <w:szCs w:val="20"/>
                <w:color w:val="auto"/>
              </w:rPr>
            </w:pPr>
            <w:r>
              <w:rPr>
                <w:rFonts w:ascii="Arial" w:cs="Arial" w:eastAsia="Arial" w:hAnsi="Arial"/>
                <w:sz w:val="18"/>
                <w:szCs w:val="18"/>
                <w:color w:val="auto"/>
              </w:rPr>
              <w:t>242,494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2" w:lineRule="exact"/>
              <w:rPr>
                <w:sz w:val="20"/>
                <w:szCs w:val="20"/>
                <w:color w:val="auto"/>
              </w:rPr>
            </w:pPr>
            <w:r>
              <w:rPr>
                <w:rFonts w:ascii="Arial" w:cs="Arial" w:eastAsia="Arial" w:hAnsi="Arial"/>
                <w:sz w:val="18"/>
                <w:szCs w:val="18"/>
                <w:color w:val="auto"/>
              </w:rPr>
              <w:t>(47,905)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2" w:lineRule="exact"/>
              <w:rPr>
                <w:sz w:val="20"/>
                <w:szCs w:val="20"/>
                <w:color w:val="auto"/>
              </w:rPr>
            </w:pPr>
            <w:r>
              <w:rPr>
                <w:rFonts w:ascii="Arial" w:cs="Arial" w:eastAsia="Arial" w:hAnsi="Arial"/>
                <w:sz w:val="18"/>
                <w:szCs w:val="18"/>
                <w:color w:val="auto"/>
              </w:rPr>
              <w:t>40,028</w:t>
            </w:r>
          </w:p>
        </w:tc>
      </w:tr>
      <w:tr>
        <w:trPr>
          <w:trHeight w:val="232"/>
        </w:trPr>
        <w:tc>
          <w:tcPr>
            <w:tcW w:w="6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shd w:val="clear" w:color="auto" w:fill="E6E6E6"/>
          </w:tcPr>
          <w:p>
            <w:pPr>
              <w:spacing w:after="0"/>
              <w:rPr>
                <w:sz w:val="20"/>
                <w:szCs w:val="20"/>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444,698</w:t>
            </w:r>
          </w:p>
        </w:tc>
        <w:tc>
          <w:tcPr>
            <w:tcW w:w="8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spacing w:after="0"/>
              <w:rPr>
                <w:sz w:val="20"/>
                <w:szCs w:val="20"/>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492,603</w:t>
            </w:r>
          </w:p>
        </w:tc>
        <w:tc>
          <w:tcPr>
            <w:tcW w:w="8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spacing w:after="0"/>
              <w:rPr>
                <w:sz w:val="20"/>
                <w:szCs w:val="20"/>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452,575</w:t>
            </w:r>
          </w:p>
        </w:tc>
      </w:tr>
      <w:tr>
        <w:trPr>
          <w:trHeight w:val="201"/>
        </w:trPr>
        <w:tc>
          <w:tcPr>
            <w:tcW w:w="6520" w:type="dxa"/>
            <w:vAlign w:val="bottom"/>
            <w:tcBorders>
              <w:bottom w:val="single" w:sz="8" w:color="E6E6E6"/>
            </w:tcBorders>
          </w:tcPr>
          <w:p>
            <w:pPr>
              <w:ind w:left="60"/>
              <w:spacing w:after="0" w:line="162" w:lineRule="exact"/>
              <w:rPr>
                <w:sz w:val="20"/>
                <w:szCs w:val="20"/>
                <w:color w:val="auto"/>
              </w:rPr>
            </w:pPr>
            <w:r>
              <w:rPr>
                <w:rFonts w:ascii="Arial" w:cs="Arial" w:eastAsia="Arial" w:hAnsi="Arial"/>
                <w:sz w:val="18"/>
                <w:szCs w:val="18"/>
                <w:color w:val="auto"/>
              </w:rPr>
              <w:t>Cash and cash equivalents, end of year</w:t>
            </w:r>
          </w:p>
        </w:tc>
        <w:tc>
          <w:tcPr>
            <w:tcW w:w="260" w:type="dxa"/>
            <w:vAlign w:val="bottom"/>
            <w:tcBorders>
              <w:bottom w:val="single" w:sz="8" w:color="auto"/>
            </w:tcBorders>
          </w:tcPr>
          <w:p>
            <w:pPr>
              <w:jc w:val="right"/>
              <w:ind w:right="31"/>
              <w:spacing w:after="0" w:line="16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8"/>
                <w:szCs w:val="18"/>
                <w:color w:val="auto"/>
              </w:rPr>
              <w:t>687,192</w:t>
            </w:r>
          </w:p>
        </w:tc>
        <w:tc>
          <w:tcPr>
            <w:tcW w:w="8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jc w:val="right"/>
              <w:ind w:right="31"/>
              <w:spacing w:after="0" w:line="16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8"/>
                <w:szCs w:val="18"/>
                <w:color w:val="auto"/>
              </w:rPr>
              <w:t>444,698</w:t>
            </w:r>
          </w:p>
        </w:tc>
        <w:tc>
          <w:tcPr>
            <w:tcW w:w="8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jc w:val="right"/>
              <w:ind w:right="31"/>
              <w:spacing w:after="0" w:line="16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8"/>
                <w:szCs w:val="18"/>
                <w:color w:val="auto"/>
              </w:rPr>
              <w:t>492,603</w:t>
            </w:r>
          </w:p>
        </w:tc>
      </w:tr>
      <w:tr>
        <w:trPr>
          <w:trHeight w:val="192"/>
        </w:trPr>
        <w:tc>
          <w:tcPr>
            <w:tcW w:w="6520" w:type="dxa"/>
            <w:vAlign w:val="bottom"/>
            <w:shd w:val="clear" w:color="auto" w:fill="E6E6E6"/>
          </w:tcPr>
          <w:p>
            <w:pPr>
              <w:ind w:left="60"/>
              <w:spacing w:after="0" w:line="192" w:lineRule="exact"/>
              <w:rPr>
                <w:sz w:val="20"/>
                <w:szCs w:val="20"/>
                <w:color w:val="auto"/>
              </w:rPr>
            </w:pPr>
            <w:r>
              <w:rPr>
                <w:rFonts w:ascii="Arial" w:cs="Arial" w:eastAsia="Arial" w:hAnsi="Arial"/>
                <w:sz w:val="18"/>
                <w:szCs w:val="18"/>
                <w:color w:val="auto"/>
              </w:rPr>
              <w:t>Supplemental information:</w:t>
            </w:r>
          </w:p>
        </w:tc>
        <w:tc>
          <w:tcPr>
            <w:tcW w:w="26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r>
      <w:tr>
        <w:trPr>
          <w:trHeight w:val="222"/>
        </w:trPr>
        <w:tc>
          <w:tcPr>
            <w:tcW w:w="6520" w:type="dxa"/>
            <w:vAlign w:val="bottom"/>
          </w:tcPr>
          <w:p>
            <w:pPr>
              <w:ind w:left="60"/>
              <w:spacing w:after="0"/>
              <w:rPr>
                <w:sz w:val="20"/>
                <w:szCs w:val="20"/>
                <w:color w:val="auto"/>
              </w:rPr>
            </w:pPr>
            <w:r>
              <w:rPr>
                <w:rFonts w:ascii="Arial" w:cs="Arial" w:eastAsia="Arial" w:hAnsi="Arial"/>
                <w:sz w:val="18"/>
                <w:szCs w:val="18"/>
                <w:color w:val="auto"/>
              </w:rPr>
              <w:t>Cash payments for interest and income taxes: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Interest paid</w:t>
            </w:r>
          </w:p>
        </w:tc>
        <w:tc>
          <w:tcPr>
            <w:tcW w:w="26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153,059</w:t>
            </w:r>
          </w:p>
        </w:tc>
        <w:tc>
          <w:tcPr>
            <w:tcW w:w="340" w:type="dxa"/>
            <w:vAlign w:val="bottom"/>
            <w:gridSpan w:val="2"/>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114,560</w:t>
            </w:r>
          </w:p>
        </w:tc>
        <w:tc>
          <w:tcPr>
            <w:tcW w:w="340" w:type="dxa"/>
            <w:vAlign w:val="bottom"/>
            <w:gridSpan w:val="2"/>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105,643</w:t>
            </w: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Income taxes paid, net of refunds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130,606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78,526</w:t>
            </w:r>
          </w:p>
        </w:tc>
      </w:tr>
      <w:tr>
        <w:trPr>
          <w:trHeight w:val="222"/>
        </w:trPr>
        <w:tc>
          <w:tcPr>
            <w:tcW w:w="6520" w:type="dxa"/>
            <w:vAlign w:val="bottom"/>
            <w:shd w:val="clear" w:color="auto" w:fill="E6E6E6"/>
          </w:tcPr>
          <w:p>
            <w:pPr>
              <w:ind w:left="60"/>
              <w:spacing w:after="0"/>
              <w:rPr>
                <w:sz w:val="20"/>
                <w:szCs w:val="20"/>
                <w:color w:val="auto"/>
              </w:rPr>
            </w:pPr>
            <w:r>
              <w:rPr>
                <w:rFonts w:ascii="Arial" w:cs="Arial" w:eastAsia="Arial" w:hAnsi="Arial"/>
                <w:sz w:val="18"/>
                <w:szCs w:val="18"/>
                <w:color w:val="auto"/>
              </w:rPr>
              <w:t>Non-cash investing activities:</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r>
      <w:tr>
        <w:trPr>
          <w:trHeight w:val="222"/>
        </w:trPr>
        <w:tc>
          <w:tcPr>
            <w:tcW w:w="6520" w:type="dxa"/>
            <w:vAlign w:val="bottom"/>
          </w:tcPr>
          <w:p>
            <w:pPr>
              <w:ind w:left="280"/>
              <w:spacing w:after="0"/>
              <w:rPr>
                <w:sz w:val="20"/>
                <w:szCs w:val="20"/>
                <w:color w:val="auto"/>
              </w:rPr>
            </w:pPr>
            <w:r>
              <w:rPr>
                <w:rFonts w:ascii="Arial" w:cs="Arial" w:eastAsia="Arial" w:hAnsi="Arial"/>
                <w:sz w:val="18"/>
                <w:szCs w:val="18"/>
                <w:color w:val="auto"/>
              </w:rPr>
              <w:t>Property, plant and equipment accrued</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30,950</w:t>
            </w:r>
          </w:p>
        </w:tc>
      </w:tr>
      <w:tr>
        <w:trPr>
          <w:trHeight w:val="222"/>
        </w:trPr>
        <w:tc>
          <w:tcPr>
            <w:tcW w:w="65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Remedial liability assumed in acquisition of property, plant and equipment</w:t>
            </w:r>
          </w:p>
        </w:tc>
        <w:tc>
          <w:tcPr>
            <w:tcW w:w="26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-1009650</wp:posOffset>
            </wp:positionV>
            <wp:extent cx="2286635" cy="50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86635" cy="50165"/>
                    </a:xfrm>
                    <a:prstGeom prst="rect">
                      <a:avLst/>
                    </a:prstGeom>
                    <a:noFill/>
                  </pic:spPr>
                </pic:pic>
              </a:graphicData>
            </a:graphic>
          </wp:anchor>
        </w:drawing>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880" w:h="15480" w:orient="portrait"/>
          <w:cols w:equalWidth="0" w:num="1">
            <w:col w:w="10080"/>
          </w:cols>
          <w:pgMar w:left="900" w:top="56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880" w:h="15480" w:orient="portrait"/>
          <w:cols w:equalWidth="0" w:num="1">
            <w:col w:w="10080"/>
          </w:cols>
          <w:pgMar w:left="900" w:top="568" w:right="900" w:bottom="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62"/>
        </w:trPr>
        <w:tc>
          <w:tcPr>
            <w:tcW w:w="7880" w:type="dxa"/>
            <w:vAlign w:val="bottom"/>
            <w:gridSpan w:val="11"/>
          </w:tcPr>
          <w:p>
            <w:pPr>
              <w:jc w:val="center"/>
              <w:ind w:left="2602"/>
              <w:spacing w:after="0"/>
              <w:rPr>
                <w:sz w:val="20"/>
                <w:szCs w:val="20"/>
                <w:color w:val="auto"/>
              </w:rPr>
            </w:pPr>
            <w:r>
              <w:rPr>
                <w:rFonts w:ascii="Arial" w:cs="Arial" w:eastAsia="Arial" w:hAnsi="Arial"/>
                <w:sz w:val="20"/>
                <w:szCs w:val="20"/>
                <w:b w:val="1"/>
                <w:bCs w:val="1"/>
                <w:color w:val="auto"/>
                <w:w w:val="97"/>
              </w:rPr>
              <w:t>CLEAN HARBORS, INC. AND SUBSIDIARIES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9"/>
        </w:trPr>
        <w:tc>
          <w:tcPr>
            <w:tcW w:w="9200" w:type="dxa"/>
            <w:vAlign w:val="bottom"/>
            <w:gridSpan w:val="14"/>
          </w:tcPr>
          <w:p>
            <w:pPr>
              <w:jc w:val="center"/>
              <w:ind w:left="1282"/>
              <w:spacing w:after="0"/>
              <w:rPr>
                <w:sz w:val="20"/>
                <w:szCs w:val="20"/>
                <w:color w:val="auto"/>
              </w:rPr>
            </w:pPr>
            <w:r>
              <w:rPr>
                <w:rFonts w:ascii="Arial" w:cs="Arial" w:eastAsia="Arial" w:hAnsi="Arial"/>
                <w:sz w:val="20"/>
                <w:szCs w:val="20"/>
                <w:b w:val="1"/>
                <w:bCs w:val="1"/>
                <w:color w:val="auto"/>
                <w:w w:val="99"/>
              </w:rPr>
              <w:t>CONSOLIDATED STATEMENTS OF STOCKHOLDERS' EQUITY</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4"/>
          </w:tcPr>
          <w:p>
            <w:pPr>
              <w:jc w:val="center"/>
              <w:ind w:right="321"/>
              <w:spacing w:after="0"/>
              <w:rPr>
                <w:sz w:val="20"/>
                <w:szCs w:val="20"/>
                <w:color w:val="auto"/>
              </w:rPr>
            </w:pPr>
            <w:r>
              <w:rPr>
                <w:rFonts w:ascii="Arial" w:cs="Arial" w:eastAsia="Arial" w:hAnsi="Arial"/>
                <w:sz w:val="20"/>
                <w:szCs w:val="20"/>
                <w:b w:val="1"/>
                <w:bCs w:val="1"/>
                <w:color w:val="auto"/>
                <w:w w:val="87"/>
              </w:rPr>
              <w:t>(in thousands)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3460" w:type="dxa"/>
            <w:vAlign w:val="bottom"/>
          </w:tcPr>
          <w:p>
            <w:pPr>
              <w:spacing w:after="0"/>
              <w:rPr>
                <w:sz w:val="24"/>
                <w:szCs w:val="24"/>
                <w:color w:val="auto"/>
              </w:rPr>
            </w:pPr>
          </w:p>
        </w:tc>
        <w:tc>
          <w:tcPr>
            <w:tcW w:w="1780" w:type="dxa"/>
            <w:vAlign w:val="bottom"/>
            <w:gridSpan w:val="5"/>
          </w:tcPr>
          <w:p>
            <w:pPr>
              <w:ind w:left="200"/>
              <w:spacing w:after="0"/>
              <w:rPr>
                <w:sz w:val="20"/>
                <w:szCs w:val="20"/>
                <w:color w:val="auto"/>
              </w:rPr>
            </w:pPr>
            <w:r>
              <w:rPr>
                <w:rFonts w:ascii="Arial" w:cs="Arial" w:eastAsia="Arial" w:hAnsi="Arial"/>
                <w:sz w:val="20"/>
                <w:szCs w:val="20"/>
                <w:b w:val="1"/>
                <w:bCs w:val="1"/>
                <w:color w:val="auto"/>
              </w:rPr>
              <w:t>Common Stock</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41"/>
              <w:spacing w:after="0"/>
              <w:rPr>
                <w:sz w:val="20"/>
                <w:szCs w:val="20"/>
                <w:color w:val="auto"/>
              </w:rPr>
            </w:pPr>
            <w:r>
              <w:rPr>
                <w:rFonts w:ascii="Arial" w:cs="Arial" w:eastAsia="Arial" w:hAnsi="Arial"/>
                <w:sz w:val="20"/>
                <w:szCs w:val="20"/>
                <w:b w:val="1"/>
                <w:bCs w:val="1"/>
                <w:color w:val="auto"/>
                <w:w w:val="89"/>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92"/>
              </w:rPr>
              <w:t>Number</w:t>
            </w:r>
          </w:p>
        </w:tc>
        <w:tc>
          <w:tcPr>
            <w:tcW w:w="760" w:type="dxa"/>
            <w:vAlign w:val="bottom"/>
            <w:tcBorders>
              <w:top w:val="single" w:sz="8" w:color="auto"/>
            </w:tcBorders>
            <w:gridSpan w:val="3"/>
          </w:tcPr>
          <w:p>
            <w:pPr>
              <w:jc w:val="center"/>
              <w:spacing w:after="0" w:line="189" w:lineRule="exact"/>
              <w:rPr>
                <w:sz w:val="20"/>
                <w:szCs w:val="20"/>
                <w:color w:val="auto"/>
              </w:rPr>
            </w:pPr>
            <w:r>
              <w:rPr>
                <w:rFonts w:ascii="Arial" w:cs="Arial" w:eastAsia="Arial" w:hAnsi="Arial"/>
                <w:sz w:val="20"/>
                <w:szCs w:val="20"/>
                <w:b w:val="1"/>
                <w:bCs w:val="1"/>
                <w:color w:val="auto"/>
                <w:w w:val="87"/>
              </w:rPr>
              <w:t>$0.01</w:t>
            </w:r>
          </w:p>
        </w:tc>
        <w:tc>
          <w:tcPr>
            <w:tcW w:w="80" w:type="dxa"/>
            <w:vAlign w:val="bottom"/>
          </w:tcPr>
          <w:p>
            <w:pPr>
              <w:spacing w:after="0"/>
              <w:rPr>
                <w:sz w:val="16"/>
                <w:szCs w:val="16"/>
                <w:color w:val="auto"/>
              </w:rPr>
            </w:pPr>
          </w:p>
        </w:tc>
        <w:tc>
          <w:tcPr>
            <w:tcW w:w="1100" w:type="dxa"/>
            <w:vAlign w:val="bottom"/>
            <w:gridSpan w:val="2"/>
          </w:tcPr>
          <w:p>
            <w:pPr>
              <w:jc w:val="right"/>
              <w:ind w:right="1"/>
              <w:spacing w:after="0" w:line="189" w:lineRule="exact"/>
              <w:rPr>
                <w:sz w:val="20"/>
                <w:szCs w:val="20"/>
                <w:color w:val="auto"/>
              </w:rPr>
            </w:pPr>
            <w:r>
              <w:rPr>
                <w:rFonts w:ascii="Arial" w:cs="Arial" w:eastAsia="Arial" w:hAnsi="Arial"/>
                <w:sz w:val="20"/>
                <w:szCs w:val="20"/>
                <w:b w:val="1"/>
                <w:bCs w:val="1"/>
                <w:color w:val="auto"/>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61"/>
              <w:spacing w:after="0" w:line="189" w:lineRule="exact"/>
              <w:rPr>
                <w:sz w:val="20"/>
                <w:szCs w:val="20"/>
                <w:color w:val="auto"/>
              </w:rPr>
            </w:pPr>
            <w:r>
              <w:rPr>
                <w:rFonts w:ascii="Arial" w:cs="Arial" w:eastAsia="Arial" w:hAnsi="Arial"/>
                <w:sz w:val="20"/>
                <w:szCs w:val="20"/>
                <w:b w:val="1"/>
                <w:bCs w:val="1"/>
                <w:color w:val="auto"/>
                <w:w w:val="93"/>
              </w:rPr>
              <w:t>Other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w w:val="92"/>
              </w:rPr>
              <w:t>Retained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21"/>
              <w:spacing w:after="0" w:line="189" w:lineRule="exact"/>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197"/>
        </w:trPr>
        <w:tc>
          <w:tcPr>
            <w:tcW w:w="3460" w:type="dxa"/>
            <w:vAlign w:val="bottom"/>
          </w:tcPr>
          <w:p>
            <w:pPr>
              <w:spacing w:after="0"/>
              <w:rPr>
                <w:sz w:val="17"/>
                <w:szCs w:val="17"/>
                <w:color w:val="auto"/>
              </w:rPr>
            </w:pPr>
          </w:p>
        </w:tc>
        <w:tc>
          <w:tcPr>
            <w:tcW w:w="940" w:type="dxa"/>
            <w:vAlign w:val="bottom"/>
          </w:tcPr>
          <w:p>
            <w:pPr>
              <w:jc w:val="center"/>
              <w:spacing w:after="0" w:line="197" w:lineRule="exact"/>
              <w:rPr>
                <w:sz w:val="20"/>
                <w:szCs w:val="20"/>
                <w:color w:val="auto"/>
              </w:rPr>
            </w:pPr>
            <w:r>
              <w:rPr>
                <w:rFonts w:ascii="Arial" w:cs="Arial" w:eastAsia="Arial" w:hAnsi="Arial"/>
                <w:sz w:val="20"/>
                <w:szCs w:val="20"/>
                <w:b w:val="1"/>
                <w:bCs w:val="1"/>
                <w:color w:val="auto"/>
                <w:w w:val="84"/>
              </w:rPr>
              <w:t>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center"/>
              <w:ind w:right="240"/>
              <w:spacing w:after="0" w:line="197" w:lineRule="exact"/>
              <w:rPr>
                <w:sz w:val="20"/>
                <w:szCs w:val="20"/>
                <w:color w:val="auto"/>
              </w:rPr>
            </w:pPr>
            <w:r>
              <w:rPr>
                <w:rFonts w:ascii="Arial" w:cs="Arial" w:eastAsia="Arial" w:hAnsi="Arial"/>
                <w:sz w:val="20"/>
                <w:szCs w:val="20"/>
                <w:b w:val="1"/>
                <w:bCs w:val="1"/>
                <w:color w:val="auto"/>
                <w:w w:val="99"/>
              </w:rPr>
              <w:t>Par</w:t>
            </w:r>
          </w:p>
        </w:tc>
        <w:tc>
          <w:tcPr>
            <w:tcW w:w="200" w:type="dxa"/>
            <w:vAlign w:val="bottom"/>
          </w:tcPr>
          <w:p>
            <w:pPr>
              <w:spacing w:after="0"/>
              <w:rPr>
                <w:sz w:val="17"/>
                <w:szCs w:val="17"/>
                <w:color w:val="auto"/>
              </w:rPr>
            </w:pPr>
          </w:p>
        </w:tc>
        <w:tc>
          <w:tcPr>
            <w:tcW w:w="900" w:type="dxa"/>
            <w:vAlign w:val="bottom"/>
          </w:tcPr>
          <w:p>
            <w:pPr>
              <w:jc w:val="right"/>
              <w:ind w:right="141"/>
              <w:spacing w:after="0" w:line="197" w:lineRule="exact"/>
              <w:rPr>
                <w:sz w:val="20"/>
                <w:szCs w:val="20"/>
                <w:color w:val="auto"/>
              </w:rPr>
            </w:pPr>
            <w:r>
              <w:rPr>
                <w:rFonts w:ascii="Arial" w:cs="Arial" w:eastAsia="Arial" w:hAnsi="Arial"/>
                <w:sz w:val="20"/>
                <w:szCs w:val="20"/>
                <w:b w:val="1"/>
                <w:bCs w:val="1"/>
                <w:color w:val="auto"/>
                <w:w w:val="95"/>
              </w:rPr>
              <w:t>Paid-in</w:t>
            </w:r>
          </w:p>
        </w:tc>
        <w:tc>
          <w:tcPr>
            <w:tcW w:w="80" w:type="dxa"/>
            <w:vAlign w:val="bottom"/>
          </w:tcPr>
          <w:p>
            <w:pPr>
              <w:spacing w:after="0"/>
              <w:rPr>
                <w:sz w:val="17"/>
                <w:szCs w:val="17"/>
                <w:color w:val="auto"/>
              </w:rPr>
            </w:pPr>
          </w:p>
        </w:tc>
        <w:tc>
          <w:tcPr>
            <w:tcW w:w="1460" w:type="dxa"/>
            <w:vAlign w:val="bottom"/>
            <w:gridSpan w:val="2"/>
          </w:tcPr>
          <w:p>
            <w:pPr>
              <w:jc w:val="center"/>
              <w:spacing w:after="0" w:line="197" w:lineRule="exact"/>
              <w:rPr>
                <w:sz w:val="20"/>
                <w:szCs w:val="20"/>
                <w:color w:val="auto"/>
              </w:rPr>
            </w:pPr>
            <w:r>
              <w:rPr>
                <w:rFonts w:ascii="Arial" w:cs="Arial" w:eastAsia="Arial" w:hAnsi="Arial"/>
                <w:sz w:val="20"/>
                <w:szCs w:val="20"/>
                <w:b w:val="1"/>
                <w:bCs w:val="1"/>
                <w:color w:val="auto"/>
                <w:w w:val="86"/>
              </w:rPr>
              <w:t>Comprehensive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ind w:left="60"/>
              <w:spacing w:after="0" w:line="197" w:lineRule="exact"/>
              <w:rPr>
                <w:sz w:val="20"/>
                <w:szCs w:val="20"/>
                <w:color w:val="auto"/>
              </w:rPr>
            </w:pPr>
            <w:r>
              <w:rPr>
                <w:rFonts w:ascii="Arial" w:cs="Arial" w:eastAsia="Arial" w:hAnsi="Arial"/>
                <w:sz w:val="20"/>
                <w:szCs w:val="20"/>
                <w:b w:val="1"/>
                <w:bCs w:val="1"/>
                <w:color w:val="auto"/>
                <w:w w:val="91"/>
              </w:rPr>
              <w:t>Stockholders'</w:t>
            </w:r>
          </w:p>
        </w:tc>
        <w:tc>
          <w:tcPr>
            <w:tcW w:w="0" w:type="dxa"/>
            <w:vAlign w:val="bottom"/>
          </w:tcPr>
          <w:p>
            <w:pPr>
              <w:spacing w:after="0"/>
              <w:rPr>
                <w:sz w:val="1"/>
                <w:szCs w:val="1"/>
                <w:color w:val="auto"/>
              </w:rPr>
            </w:pPr>
          </w:p>
        </w:tc>
      </w:tr>
      <w:tr>
        <w:trPr>
          <w:trHeight w:val="259"/>
        </w:trPr>
        <w:tc>
          <w:tcPr>
            <w:tcW w:w="3460" w:type="dxa"/>
            <w:vAlign w:val="bottom"/>
            <w:tcBorders>
              <w:bottom w:val="single" w:sz="8" w:color="E6E6E6"/>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Shares</w:t>
            </w:r>
          </w:p>
        </w:tc>
        <w:tc>
          <w:tcPr>
            <w:tcW w:w="80" w:type="dxa"/>
            <w:vAlign w:val="bottom"/>
            <w:tcBorders>
              <w:bottom w:val="single" w:sz="8" w:color="E6E6E6"/>
            </w:tcBorders>
          </w:tcPr>
          <w:p>
            <w:pPr>
              <w:spacing w:after="0"/>
              <w:rPr>
                <w:sz w:val="22"/>
                <w:szCs w:val="22"/>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Value</w:t>
            </w:r>
          </w:p>
        </w:tc>
        <w:tc>
          <w:tcPr>
            <w:tcW w:w="8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w w:val="95"/>
              </w:rPr>
              <w:t>Capital</w:t>
            </w:r>
          </w:p>
        </w:tc>
        <w:tc>
          <w:tcPr>
            <w:tcW w:w="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81"/>
              </w:rPr>
              <w:t>Loss</w:t>
            </w:r>
          </w:p>
        </w:tc>
        <w:tc>
          <w:tcPr>
            <w:tcW w:w="8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w w:val="91"/>
              </w:rPr>
              <w:t>Earnings</w:t>
            </w: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Equity</w:t>
            </w:r>
          </w:p>
        </w:tc>
        <w:tc>
          <w:tcPr>
            <w:tcW w:w="0" w:type="dxa"/>
            <w:vAlign w:val="bottom"/>
          </w:tcPr>
          <w:p>
            <w:pPr>
              <w:spacing w:after="0"/>
              <w:rPr>
                <w:sz w:val="1"/>
                <w:szCs w:val="1"/>
                <w:color w:val="auto"/>
              </w:rPr>
            </w:pPr>
          </w:p>
        </w:tc>
      </w:tr>
      <w:tr>
        <w:trPr>
          <w:trHeight w:val="271"/>
        </w:trPr>
        <w:tc>
          <w:tcPr>
            <w:tcW w:w="346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Balance at January 1, 2022</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54,419</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5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544</w:t>
            </w: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536,377</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(196,012)</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1,172,978</w:t>
            </w:r>
          </w:p>
        </w:tc>
        <w:tc>
          <w:tcPr>
            <w:tcW w:w="320" w:type="dxa"/>
            <w:vAlign w:val="bottom"/>
            <w:gridSpan w:val="2"/>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1,513,887</w:t>
            </w:r>
          </w:p>
        </w:tc>
        <w:tc>
          <w:tcPr>
            <w:tcW w:w="0" w:type="dxa"/>
            <w:vAlign w:val="bottom"/>
          </w:tcPr>
          <w:p>
            <w:pPr>
              <w:spacing w:after="0"/>
              <w:rPr>
                <w:sz w:val="1"/>
                <w:szCs w:val="1"/>
                <w:color w:val="auto"/>
              </w:rPr>
            </w:pPr>
          </w:p>
        </w:tc>
      </w:tr>
      <w:tr>
        <w:trPr>
          <w:trHeight w:val="275"/>
        </w:trPr>
        <w:tc>
          <w:tcPr>
            <w:tcW w:w="3460" w:type="dxa"/>
            <w:vAlign w:val="bottom"/>
          </w:tcPr>
          <w:p>
            <w:pPr>
              <w:ind w:left="200"/>
              <w:spacing w:after="0"/>
              <w:rPr>
                <w:sz w:val="20"/>
                <w:szCs w:val="20"/>
                <w:color w:val="auto"/>
              </w:rPr>
            </w:pPr>
            <w:r>
              <w:rPr>
                <w:rFonts w:ascii="Arial" w:cs="Arial" w:eastAsia="Arial" w:hAnsi="Arial"/>
                <w:sz w:val="20"/>
                <w:szCs w:val="20"/>
                <w:color w:val="auto"/>
              </w:rPr>
              <w:t>Net income</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411,744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411,744</w:t>
            </w:r>
          </w:p>
        </w:tc>
        <w:tc>
          <w:tcPr>
            <w:tcW w:w="0" w:type="dxa"/>
            <w:vAlign w:val="bottom"/>
          </w:tcPr>
          <w:p>
            <w:pPr>
              <w:spacing w:after="0"/>
              <w:rPr>
                <w:sz w:val="1"/>
                <w:szCs w:val="1"/>
                <w:color w:val="auto"/>
              </w:rPr>
            </w:pPr>
          </w:p>
        </w:tc>
      </w:tr>
      <w:tr>
        <w:trPr>
          <w:trHeight w:val="287"/>
        </w:trPr>
        <w:tc>
          <w:tcPr>
            <w:tcW w:w="3460" w:type="dxa"/>
            <w:vAlign w:val="bottom"/>
            <w:shd w:val="clear" w:color="auto" w:fill="E6E6E6"/>
          </w:tcPr>
          <w:p>
            <w:pPr>
              <w:ind w:left="200"/>
              <w:spacing w:after="0"/>
              <w:rPr>
                <w:sz w:val="20"/>
                <w:szCs w:val="20"/>
                <w:color w:val="auto"/>
              </w:rPr>
            </w:pPr>
            <w:r>
              <w:rPr>
                <w:rFonts w:ascii="Arial" w:cs="Arial" w:eastAsia="Arial" w:hAnsi="Arial"/>
                <w:sz w:val="20"/>
                <w:szCs w:val="20"/>
                <w:color w:val="auto"/>
              </w:rPr>
              <w:t>Other comprehensive income</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0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28,831</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28,831</w:t>
            </w:r>
          </w:p>
        </w:tc>
        <w:tc>
          <w:tcPr>
            <w:tcW w:w="0" w:type="dxa"/>
            <w:vAlign w:val="bottom"/>
          </w:tcPr>
          <w:p>
            <w:pPr>
              <w:spacing w:after="0"/>
              <w:rPr>
                <w:sz w:val="1"/>
                <w:szCs w:val="1"/>
                <w:color w:val="auto"/>
              </w:rPr>
            </w:pPr>
          </w:p>
        </w:tc>
      </w:tr>
      <w:tr>
        <w:trPr>
          <w:trHeight w:val="275"/>
        </w:trPr>
        <w:tc>
          <w:tcPr>
            <w:tcW w:w="3460" w:type="dxa"/>
            <w:vAlign w:val="bottom"/>
          </w:tcPr>
          <w:p>
            <w:pPr>
              <w:ind w:left="200"/>
              <w:spacing w:after="0"/>
              <w:rPr>
                <w:sz w:val="20"/>
                <w:szCs w:val="20"/>
                <w:color w:val="auto"/>
              </w:rPr>
            </w:pPr>
            <w:r>
              <w:rPr>
                <w:rFonts w:ascii="Arial" w:cs="Arial" w:eastAsia="Arial" w:hAnsi="Arial"/>
                <w:sz w:val="20"/>
                <w:szCs w:val="20"/>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26,844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26,844</w:t>
            </w:r>
          </w:p>
        </w:tc>
        <w:tc>
          <w:tcPr>
            <w:tcW w:w="0" w:type="dxa"/>
            <w:vAlign w:val="bottom"/>
          </w:tcPr>
          <w:p>
            <w:pPr>
              <w:spacing w:after="0"/>
              <w:rPr>
                <w:sz w:val="1"/>
                <w:szCs w:val="1"/>
                <w:color w:val="auto"/>
              </w:rPr>
            </w:pPr>
          </w:p>
        </w:tc>
      </w:tr>
      <w:tr>
        <w:trPr>
          <w:trHeight w:val="205"/>
        </w:trPr>
        <w:tc>
          <w:tcPr>
            <w:tcW w:w="3460" w:type="dxa"/>
            <w:vAlign w:val="bottom"/>
            <w:shd w:val="clear" w:color="auto" w:fill="E6E6E6"/>
          </w:tcPr>
          <w:p>
            <w:pPr>
              <w:ind w:left="200"/>
              <w:spacing w:after="0" w:line="205" w:lineRule="exact"/>
              <w:rPr>
                <w:sz w:val="20"/>
                <w:szCs w:val="20"/>
                <w:color w:val="auto"/>
              </w:rPr>
            </w:pPr>
            <w:r>
              <w:rPr>
                <w:rFonts w:ascii="Arial" w:cs="Arial" w:eastAsia="Arial" w:hAnsi="Arial"/>
                <w:sz w:val="20"/>
                <w:szCs w:val="20"/>
                <w:color w:val="auto"/>
                <w:w w:val="91"/>
              </w:rPr>
              <w:t>Issuance of common stock for restricted</w:t>
            </w:r>
          </w:p>
        </w:tc>
        <w:tc>
          <w:tcPr>
            <w:tcW w:w="9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3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E6E6E6"/>
          </w:tcPr>
          <w:p>
            <w:pPr>
              <w:ind w:left="200"/>
              <w:spacing w:after="0" w:line="197" w:lineRule="exact"/>
              <w:rPr>
                <w:sz w:val="20"/>
                <w:szCs w:val="20"/>
                <w:color w:val="auto"/>
              </w:rPr>
            </w:pPr>
            <w:r>
              <w:rPr>
                <w:rFonts w:ascii="Arial" w:cs="Arial" w:eastAsia="Arial" w:hAnsi="Arial"/>
                <w:sz w:val="20"/>
                <w:szCs w:val="20"/>
                <w:color w:val="auto"/>
              </w:rPr>
              <w:t>share vesting, net of employee tax</w:t>
            </w:r>
          </w:p>
        </w:tc>
        <w:tc>
          <w:tcPr>
            <w:tcW w:w="9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183</w:t>
            </w: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5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(8,803)</w:t>
            </w: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3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(8,801)</w:t>
            </w:r>
          </w:p>
        </w:tc>
        <w:tc>
          <w:tcPr>
            <w:tcW w:w="0" w:type="dxa"/>
            <w:vAlign w:val="bottom"/>
          </w:tcPr>
          <w:p>
            <w:pPr>
              <w:spacing w:after="0"/>
              <w:rPr>
                <w:sz w:val="1"/>
                <w:szCs w:val="1"/>
                <w:color w:val="auto"/>
              </w:rPr>
            </w:pPr>
          </w:p>
        </w:tc>
      </w:tr>
      <w:tr>
        <w:trPr>
          <w:trHeight w:val="269"/>
        </w:trPr>
        <w:tc>
          <w:tcPr>
            <w:tcW w:w="3460" w:type="dxa"/>
            <w:vAlign w:val="bottom"/>
            <w:shd w:val="clear" w:color="auto" w:fill="E6E6E6"/>
          </w:tcPr>
          <w:p>
            <w:pPr>
              <w:ind w:left="200"/>
              <w:spacing w:after="0"/>
              <w:rPr>
                <w:sz w:val="20"/>
                <w:szCs w:val="20"/>
                <w:color w:val="auto"/>
              </w:rPr>
            </w:pPr>
            <w:r>
              <w:rPr>
                <w:rFonts w:ascii="Arial" w:cs="Arial" w:eastAsia="Arial" w:hAnsi="Arial"/>
                <w:sz w:val="20"/>
                <w:szCs w:val="20"/>
                <w:color w:val="auto"/>
              </w:rPr>
              <w:t>withholdings</w:t>
            </w:r>
          </w:p>
        </w:tc>
        <w:tc>
          <w:tcPr>
            <w:tcW w:w="9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5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9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3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0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04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460" w:type="dxa"/>
            <w:vAlign w:val="bottom"/>
            <w:tcBorders>
              <w:bottom w:val="single" w:sz="8" w:color="E6E6E6"/>
            </w:tcBorders>
          </w:tcPr>
          <w:p>
            <w:pPr>
              <w:ind w:left="200"/>
              <w:spacing w:after="0"/>
              <w:rPr>
                <w:sz w:val="20"/>
                <w:szCs w:val="20"/>
                <w:color w:val="auto"/>
              </w:rPr>
            </w:pPr>
            <w:r>
              <w:rPr>
                <w:rFonts w:ascii="Arial" w:cs="Arial" w:eastAsia="Arial" w:hAnsi="Arial"/>
                <w:sz w:val="20"/>
                <w:szCs w:val="20"/>
                <w:color w:val="auto"/>
              </w:rPr>
              <w:t>Repurchases of common stock</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(537)</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8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(50,178)</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(50,183)</w:t>
            </w:r>
          </w:p>
        </w:tc>
        <w:tc>
          <w:tcPr>
            <w:tcW w:w="0" w:type="dxa"/>
            <w:vAlign w:val="bottom"/>
          </w:tcPr>
          <w:p>
            <w:pPr>
              <w:spacing w:after="0"/>
              <w:rPr>
                <w:sz w:val="1"/>
                <w:szCs w:val="1"/>
                <w:color w:val="auto"/>
              </w:rPr>
            </w:pPr>
          </w:p>
        </w:tc>
      </w:tr>
      <w:tr>
        <w:trPr>
          <w:trHeight w:val="271"/>
        </w:trPr>
        <w:tc>
          <w:tcPr>
            <w:tcW w:w="346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Balance at December 31, 2022</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54,065</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541</w:t>
            </w: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504,240</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(167,181)</w:t>
            </w: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1,584,722</w:t>
            </w:r>
          </w:p>
        </w:tc>
        <w:tc>
          <w:tcPr>
            <w:tcW w:w="8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1,922,322</w:t>
            </w:r>
          </w:p>
        </w:tc>
        <w:tc>
          <w:tcPr>
            <w:tcW w:w="0" w:type="dxa"/>
            <w:vAlign w:val="bottom"/>
          </w:tcPr>
          <w:p>
            <w:pPr>
              <w:spacing w:after="0"/>
              <w:rPr>
                <w:sz w:val="1"/>
                <w:szCs w:val="1"/>
                <w:color w:val="auto"/>
              </w:rPr>
            </w:pPr>
          </w:p>
        </w:tc>
      </w:tr>
      <w:tr>
        <w:trPr>
          <w:trHeight w:val="275"/>
        </w:trPr>
        <w:tc>
          <w:tcPr>
            <w:tcW w:w="3460" w:type="dxa"/>
            <w:vAlign w:val="bottom"/>
          </w:tcPr>
          <w:p>
            <w:pPr>
              <w:ind w:left="200"/>
              <w:spacing w:after="0"/>
              <w:rPr>
                <w:sz w:val="20"/>
                <w:szCs w:val="20"/>
                <w:color w:val="auto"/>
              </w:rPr>
            </w:pPr>
            <w:r>
              <w:rPr>
                <w:rFonts w:ascii="Arial" w:cs="Arial" w:eastAsia="Arial" w:hAnsi="Arial"/>
                <w:sz w:val="20"/>
                <w:szCs w:val="20"/>
                <w:color w:val="auto"/>
              </w:rPr>
              <w:t>Net income</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377,856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377,856</w:t>
            </w:r>
          </w:p>
        </w:tc>
        <w:tc>
          <w:tcPr>
            <w:tcW w:w="0" w:type="dxa"/>
            <w:vAlign w:val="bottom"/>
          </w:tcPr>
          <w:p>
            <w:pPr>
              <w:spacing w:after="0"/>
              <w:rPr>
                <w:sz w:val="1"/>
                <w:szCs w:val="1"/>
                <w:color w:val="auto"/>
              </w:rPr>
            </w:pPr>
          </w:p>
        </w:tc>
      </w:tr>
      <w:tr>
        <w:trPr>
          <w:trHeight w:val="287"/>
        </w:trPr>
        <w:tc>
          <w:tcPr>
            <w:tcW w:w="3460" w:type="dxa"/>
            <w:vAlign w:val="bottom"/>
            <w:shd w:val="clear" w:color="auto" w:fill="E6E6E6"/>
          </w:tcPr>
          <w:p>
            <w:pPr>
              <w:ind w:left="200"/>
              <w:spacing w:after="0"/>
              <w:rPr>
                <w:sz w:val="20"/>
                <w:szCs w:val="20"/>
                <w:color w:val="auto"/>
              </w:rPr>
            </w:pPr>
            <w:r>
              <w:rPr>
                <w:rFonts w:ascii="Arial" w:cs="Arial" w:eastAsia="Arial" w:hAnsi="Arial"/>
                <w:sz w:val="20"/>
                <w:szCs w:val="20"/>
                <w:color w:val="auto"/>
              </w:rPr>
              <w:t>Other comprehensive loss</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0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(8,158)</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(8,158)</w:t>
            </w:r>
          </w:p>
        </w:tc>
        <w:tc>
          <w:tcPr>
            <w:tcW w:w="0" w:type="dxa"/>
            <w:vAlign w:val="bottom"/>
          </w:tcPr>
          <w:p>
            <w:pPr>
              <w:spacing w:after="0"/>
              <w:rPr>
                <w:sz w:val="1"/>
                <w:szCs w:val="1"/>
                <w:color w:val="auto"/>
              </w:rPr>
            </w:pPr>
          </w:p>
        </w:tc>
      </w:tr>
      <w:tr>
        <w:trPr>
          <w:trHeight w:val="275"/>
        </w:trPr>
        <w:tc>
          <w:tcPr>
            <w:tcW w:w="3460" w:type="dxa"/>
            <w:vAlign w:val="bottom"/>
          </w:tcPr>
          <w:p>
            <w:pPr>
              <w:ind w:left="200"/>
              <w:spacing w:after="0"/>
              <w:rPr>
                <w:sz w:val="20"/>
                <w:szCs w:val="20"/>
                <w:color w:val="auto"/>
              </w:rPr>
            </w:pPr>
            <w:r>
              <w:rPr>
                <w:rFonts w:ascii="Arial" w:cs="Arial" w:eastAsia="Arial" w:hAnsi="Arial"/>
                <w:sz w:val="20"/>
                <w:szCs w:val="20"/>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20,703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20,703</w:t>
            </w:r>
          </w:p>
        </w:tc>
        <w:tc>
          <w:tcPr>
            <w:tcW w:w="0" w:type="dxa"/>
            <w:vAlign w:val="bottom"/>
          </w:tcPr>
          <w:p>
            <w:pPr>
              <w:spacing w:after="0"/>
              <w:rPr>
                <w:sz w:val="1"/>
                <w:szCs w:val="1"/>
                <w:color w:val="auto"/>
              </w:rPr>
            </w:pPr>
          </w:p>
        </w:tc>
      </w:tr>
      <w:tr>
        <w:trPr>
          <w:trHeight w:val="205"/>
        </w:trPr>
        <w:tc>
          <w:tcPr>
            <w:tcW w:w="3460" w:type="dxa"/>
            <w:vAlign w:val="bottom"/>
            <w:shd w:val="clear" w:color="auto" w:fill="E6E6E6"/>
          </w:tcPr>
          <w:p>
            <w:pPr>
              <w:ind w:left="200"/>
              <w:spacing w:after="0" w:line="205" w:lineRule="exact"/>
              <w:rPr>
                <w:sz w:val="20"/>
                <w:szCs w:val="20"/>
                <w:color w:val="auto"/>
              </w:rPr>
            </w:pPr>
            <w:r>
              <w:rPr>
                <w:rFonts w:ascii="Arial" w:cs="Arial" w:eastAsia="Arial" w:hAnsi="Arial"/>
                <w:sz w:val="20"/>
                <w:szCs w:val="20"/>
                <w:color w:val="auto"/>
                <w:w w:val="91"/>
              </w:rPr>
              <w:t>Issuance of common stock for restricted</w:t>
            </w:r>
          </w:p>
        </w:tc>
        <w:tc>
          <w:tcPr>
            <w:tcW w:w="9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3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E6E6E6"/>
          </w:tcPr>
          <w:p>
            <w:pPr>
              <w:ind w:left="200"/>
              <w:spacing w:after="0" w:line="197" w:lineRule="exact"/>
              <w:rPr>
                <w:sz w:val="20"/>
                <w:szCs w:val="20"/>
                <w:color w:val="auto"/>
              </w:rPr>
            </w:pPr>
            <w:r>
              <w:rPr>
                <w:rFonts w:ascii="Arial" w:cs="Arial" w:eastAsia="Arial" w:hAnsi="Arial"/>
                <w:sz w:val="20"/>
                <w:szCs w:val="20"/>
                <w:color w:val="auto"/>
              </w:rPr>
              <w:t>share vesting, net of employee tax</w:t>
            </w:r>
          </w:p>
        </w:tc>
        <w:tc>
          <w:tcPr>
            <w:tcW w:w="9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193</w:t>
            </w: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5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(13,839)</w:t>
            </w: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3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(13,838)</w:t>
            </w:r>
          </w:p>
        </w:tc>
        <w:tc>
          <w:tcPr>
            <w:tcW w:w="0" w:type="dxa"/>
            <w:vAlign w:val="bottom"/>
          </w:tcPr>
          <w:p>
            <w:pPr>
              <w:spacing w:after="0"/>
              <w:rPr>
                <w:sz w:val="1"/>
                <w:szCs w:val="1"/>
                <w:color w:val="auto"/>
              </w:rPr>
            </w:pPr>
          </w:p>
        </w:tc>
      </w:tr>
      <w:tr>
        <w:trPr>
          <w:trHeight w:val="269"/>
        </w:trPr>
        <w:tc>
          <w:tcPr>
            <w:tcW w:w="3460" w:type="dxa"/>
            <w:vAlign w:val="bottom"/>
            <w:shd w:val="clear" w:color="auto" w:fill="E6E6E6"/>
          </w:tcPr>
          <w:p>
            <w:pPr>
              <w:ind w:left="200"/>
              <w:spacing w:after="0"/>
              <w:rPr>
                <w:sz w:val="20"/>
                <w:szCs w:val="20"/>
                <w:color w:val="auto"/>
              </w:rPr>
            </w:pPr>
            <w:r>
              <w:rPr>
                <w:rFonts w:ascii="Arial" w:cs="Arial" w:eastAsia="Arial" w:hAnsi="Arial"/>
                <w:sz w:val="20"/>
                <w:szCs w:val="20"/>
                <w:color w:val="auto"/>
              </w:rPr>
              <w:t>withholdings</w:t>
            </w:r>
          </w:p>
        </w:tc>
        <w:tc>
          <w:tcPr>
            <w:tcW w:w="9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5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9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3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0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04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460" w:type="dxa"/>
            <w:vAlign w:val="bottom"/>
            <w:tcBorders>
              <w:bottom w:val="single" w:sz="8" w:color="E6E6E6"/>
            </w:tcBorders>
          </w:tcPr>
          <w:p>
            <w:pPr>
              <w:ind w:left="200"/>
              <w:spacing w:after="0"/>
              <w:rPr>
                <w:sz w:val="20"/>
                <w:szCs w:val="20"/>
                <w:color w:val="auto"/>
              </w:rPr>
            </w:pPr>
            <w:r>
              <w:rPr>
                <w:rFonts w:ascii="Arial" w:cs="Arial" w:eastAsia="Arial" w:hAnsi="Arial"/>
                <w:sz w:val="20"/>
                <w:szCs w:val="20"/>
                <w:color w:val="auto"/>
              </w:rPr>
              <w:t>Repurchases of common stock</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(328)</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8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(51,376)</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(51,379)</w:t>
            </w:r>
          </w:p>
        </w:tc>
        <w:tc>
          <w:tcPr>
            <w:tcW w:w="0" w:type="dxa"/>
            <w:vAlign w:val="bottom"/>
          </w:tcPr>
          <w:p>
            <w:pPr>
              <w:spacing w:after="0"/>
              <w:rPr>
                <w:sz w:val="1"/>
                <w:szCs w:val="1"/>
                <w:color w:val="auto"/>
              </w:rPr>
            </w:pPr>
          </w:p>
        </w:tc>
      </w:tr>
      <w:tr>
        <w:trPr>
          <w:trHeight w:val="271"/>
        </w:trPr>
        <w:tc>
          <w:tcPr>
            <w:tcW w:w="346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Balance at December 31, 2023</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53,930</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539</w:t>
            </w: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459,728</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(175,339)</w:t>
            </w: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1,962,578</w:t>
            </w:r>
          </w:p>
        </w:tc>
        <w:tc>
          <w:tcPr>
            <w:tcW w:w="8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2,247,506</w:t>
            </w:r>
          </w:p>
        </w:tc>
        <w:tc>
          <w:tcPr>
            <w:tcW w:w="0" w:type="dxa"/>
            <w:vAlign w:val="bottom"/>
          </w:tcPr>
          <w:p>
            <w:pPr>
              <w:spacing w:after="0"/>
              <w:rPr>
                <w:sz w:val="1"/>
                <w:szCs w:val="1"/>
                <w:color w:val="auto"/>
              </w:rPr>
            </w:pPr>
          </w:p>
        </w:tc>
      </w:tr>
      <w:tr>
        <w:trPr>
          <w:trHeight w:val="275"/>
        </w:trPr>
        <w:tc>
          <w:tcPr>
            <w:tcW w:w="3460" w:type="dxa"/>
            <w:vAlign w:val="bottom"/>
          </w:tcPr>
          <w:p>
            <w:pPr>
              <w:ind w:left="200"/>
              <w:spacing w:after="0"/>
              <w:rPr>
                <w:sz w:val="20"/>
                <w:szCs w:val="20"/>
                <w:color w:val="auto"/>
              </w:rPr>
            </w:pPr>
            <w:r>
              <w:rPr>
                <w:rFonts w:ascii="Arial" w:cs="Arial" w:eastAsia="Arial" w:hAnsi="Arial"/>
                <w:sz w:val="20"/>
                <w:szCs w:val="20"/>
                <w:color w:val="auto"/>
              </w:rPr>
              <w:t>Net income</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402,299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402,299</w:t>
            </w:r>
          </w:p>
        </w:tc>
        <w:tc>
          <w:tcPr>
            <w:tcW w:w="0" w:type="dxa"/>
            <w:vAlign w:val="bottom"/>
          </w:tcPr>
          <w:p>
            <w:pPr>
              <w:spacing w:after="0"/>
              <w:rPr>
                <w:sz w:val="1"/>
                <w:szCs w:val="1"/>
                <w:color w:val="auto"/>
              </w:rPr>
            </w:pPr>
          </w:p>
        </w:tc>
      </w:tr>
      <w:tr>
        <w:trPr>
          <w:trHeight w:val="287"/>
        </w:trPr>
        <w:tc>
          <w:tcPr>
            <w:tcW w:w="3460" w:type="dxa"/>
            <w:vAlign w:val="bottom"/>
            <w:shd w:val="clear" w:color="auto" w:fill="E6E6E6"/>
          </w:tcPr>
          <w:p>
            <w:pPr>
              <w:ind w:left="200"/>
              <w:spacing w:after="0"/>
              <w:rPr>
                <w:sz w:val="20"/>
                <w:szCs w:val="20"/>
                <w:color w:val="auto"/>
              </w:rPr>
            </w:pPr>
            <w:r>
              <w:rPr>
                <w:rFonts w:ascii="Arial" w:cs="Arial" w:eastAsia="Arial" w:hAnsi="Arial"/>
                <w:sz w:val="20"/>
                <w:szCs w:val="20"/>
                <w:color w:val="auto"/>
              </w:rPr>
              <w:t>Other comprehensive loss</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0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(38,296)</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(38,296)</w:t>
            </w:r>
          </w:p>
        </w:tc>
        <w:tc>
          <w:tcPr>
            <w:tcW w:w="0" w:type="dxa"/>
            <w:vAlign w:val="bottom"/>
          </w:tcPr>
          <w:p>
            <w:pPr>
              <w:spacing w:after="0"/>
              <w:rPr>
                <w:sz w:val="1"/>
                <w:szCs w:val="1"/>
                <w:color w:val="auto"/>
              </w:rPr>
            </w:pPr>
          </w:p>
        </w:tc>
      </w:tr>
      <w:tr>
        <w:trPr>
          <w:trHeight w:val="275"/>
        </w:trPr>
        <w:tc>
          <w:tcPr>
            <w:tcW w:w="3460" w:type="dxa"/>
            <w:vAlign w:val="bottom"/>
          </w:tcPr>
          <w:p>
            <w:pPr>
              <w:ind w:left="200"/>
              <w:spacing w:after="0"/>
              <w:rPr>
                <w:sz w:val="20"/>
                <w:szCs w:val="20"/>
                <w:color w:val="auto"/>
              </w:rPr>
            </w:pPr>
            <w:r>
              <w:rPr>
                <w:rFonts w:ascii="Arial" w:cs="Arial" w:eastAsia="Arial" w:hAnsi="Arial"/>
                <w:sz w:val="20"/>
                <w:szCs w:val="20"/>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27,981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27,981</w:t>
            </w:r>
          </w:p>
        </w:tc>
        <w:tc>
          <w:tcPr>
            <w:tcW w:w="0" w:type="dxa"/>
            <w:vAlign w:val="bottom"/>
          </w:tcPr>
          <w:p>
            <w:pPr>
              <w:spacing w:after="0"/>
              <w:rPr>
                <w:sz w:val="1"/>
                <w:szCs w:val="1"/>
                <w:color w:val="auto"/>
              </w:rPr>
            </w:pPr>
          </w:p>
        </w:tc>
      </w:tr>
      <w:tr>
        <w:trPr>
          <w:trHeight w:val="205"/>
        </w:trPr>
        <w:tc>
          <w:tcPr>
            <w:tcW w:w="3460" w:type="dxa"/>
            <w:vAlign w:val="bottom"/>
            <w:shd w:val="clear" w:color="auto" w:fill="E6E6E6"/>
          </w:tcPr>
          <w:p>
            <w:pPr>
              <w:ind w:left="200"/>
              <w:spacing w:after="0" w:line="205" w:lineRule="exact"/>
              <w:rPr>
                <w:sz w:val="20"/>
                <w:szCs w:val="20"/>
                <w:color w:val="auto"/>
              </w:rPr>
            </w:pPr>
            <w:r>
              <w:rPr>
                <w:rFonts w:ascii="Arial" w:cs="Arial" w:eastAsia="Arial" w:hAnsi="Arial"/>
                <w:sz w:val="20"/>
                <w:szCs w:val="20"/>
                <w:color w:val="auto"/>
                <w:w w:val="91"/>
              </w:rPr>
              <w:t>Issuance of common stock for restricted</w:t>
            </w:r>
          </w:p>
        </w:tc>
        <w:tc>
          <w:tcPr>
            <w:tcW w:w="9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3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E6E6E6"/>
          </w:tcPr>
          <w:p>
            <w:pPr>
              <w:ind w:left="200"/>
              <w:spacing w:after="0" w:line="197" w:lineRule="exact"/>
              <w:rPr>
                <w:sz w:val="20"/>
                <w:szCs w:val="20"/>
                <w:color w:val="auto"/>
              </w:rPr>
            </w:pPr>
            <w:r>
              <w:rPr>
                <w:rFonts w:ascii="Arial" w:cs="Arial" w:eastAsia="Arial" w:hAnsi="Arial"/>
                <w:sz w:val="20"/>
                <w:szCs w:val="20"/>
                <w:color w:val="auto"/>
              </w:rPr>
              <w:t>share vesting, net of employee tax</w:t>
            </w:r>
          </w:p>
        </w:tc>
        <w:tc>
          <w:tcPr>
            <w:tcW w:w="9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125</w:t>
            </w: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5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(13,760)</w:t>
            </w: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3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(13,759)</w:t>
            </w:r>
          </w:p>
        </w:tc>
        <w:tc>
          <w:tcPr>
            <w:tcW w:w="0" w:type="dxa"/>
            <w:vAlign w:val="bottom"/>
          </w:tcPr>
          <w:p>
            <w:pPr>
              <w:spacing w:after="0"/>
              <w:rPr>
                <w:sz w:val="1"/>
                <w:szCs w:val="1"/>
                <w:color w:val="auto"/>
              </w:rPr>
            </w:pPr>
          </w:p>
        </w:tc>
      </w:tr>
      <w:tr>
        <w:trPr>
          <w:trHeight w:val="269"/>
        </w:trPr>
        <w:tc>
          <w:tcPr>
            <w:tcW w:w="3460" w:type="dxa"/>
            <w:vAlign w:val="bottom"/>
            <w:shd w:val="clear" w:color="auto" w:fill="E6E6E6"/>
          </w:tcPr>
          <w:p>
            <w:pPr>
              <w:ind w:left="200"/>
              <w:spacing w:after="0"/>
              <w:rPr>
                <w:sz w:val="20"/>
                <w:szCs w:val="20"/>
                <w:color w:val="auto"/>
              </w:rPr>
            </w:pPr>
            <w:r>
              <w:rPr>
                <w:rFonts w:ascii="Arial" w:cs="Arial" w:eastAsia="Arial" w:hAnsi="Arial"/>
                <w:sz w:val="20"/>
                <w:szCs w:val="20"/>
                <w:color w:val="auto"/>
              </w:rPr>
              <w:t>withholdings</w:t>
            </w:r>
          </w:p>
        </w:tc>
        <w:tc>
          <w:tcPr>
            <w:tcW w:w="9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5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9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3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0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04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460" w:type="dxa"/>
            <w:vAlign w:val="bottom"/>
          </w:tcPr>
          <w:p>
            <w:pPr>
              <w:ind w:left="200"/>
              <w:spacing w:after="0"/>
              <w:rPr>
                <w:sz w:val="20"/>
                <w:szCs w:val="20"/>
                <w:color w:val="auto"/>
              </w:rPr>
            </w:pPr>
            <w:r>
              <w:rPr>
                <w:rFonts w:ascii="Arial" w:cs="Arial" w:eastAsia="Arial" w:hAnsi="Arial"/>
                <w:sz w:val="20"/>
                <w:szCs w:val="20"/>
                <w:color w:val="auto"/>
              </w:rPr>
              <w:t>Repurchases of common stock</w:t>
            </w:r>
          </w:p>
        </w:tc>
        <w:tc>
          <w:tcPr>
            <w:tcW w:w="940" w:type="dxa"/>
            <w:vAlign w:val="bottom"/>
          </w:tcPr>
          <w:p>
            <w:pPr>
              <w:jc w:val="right"/>
              <w:spacing w:after="0"/>
              <w:rPr>
                <w:sz w:val="20"/>
                <w:szCs w:val="20"/>
                <w:color w:val="auto"/>
              </w:rPr>
            </w:pPr>
            <w:r>
              <w:rPr>
                <w:rFonts w:ascii="Arial" w:cs="Arial" w:eastAsia="Arial" w:hAnsi="Arial"/>
                <w:sz w:val="20"/>
                <w:szCs w:val="20"/>
                <w:color w:val="auto"/>
              </w:rPr>
              <w:t>(237)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(55,209)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(55,211)</w:t>
            </w:r>
          </w:p>
        </w:tc>
        <w:tc>
          <w:tcPr>
            <w:tcW w:w="0" w:type="dxa"/>
            <w:vAlign w:val="bottom"/>
          </w:tcPr>
          <w:p>
            <w:pPr>
              <w:spacing w:after="0"/>
              <w:rPr>
                <w:sz w:val="1"/>
                <w:szCs w:val="1"/>
                <w:color w:val="auto"/>
              </w:rPr>
            </w:pPr>
          </w:p>
        </w:tc>
      </w:tr>
      <w:tr>
        <w:trPr>
          <w:trHeight w:val="293"/>
        </w:trPr>
        <w:tc>
          <w:tcPr>
            <w:tcW w:w="346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20"/>
                <w:szCs w:val="20"/>
                <w:color w:val="auto"/>
              </w:rPr>
              <w:t>Employee stock purchase plan</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3,009</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3,009</w:t>
            </w:r>
          </w:p>
        </w:tc>
        <w:tc>
          <w:tcPr>
            <w:tcW w:w="0" w:type="dxa"/>
            <w:vAlign w:val="bottom"/>
          </w:tcPr>
          <w:p>
            <w:pPr>
              <w:spacing w:after="0"/>
              <w:rPr>
                <w:sz w:val="1"/>
                <w:szCs w:val="1"/>
                <w:color w:val="auto"/>
              </w:rPr>
            </w:pPr>
          </w:p>
        </w:tc>
      </w:tr>
      <w:tr>
        <w:trPr>
          <w:trHeight w:val="222"/>
        </w:trPr>
        <w:tc>
          <w:tcPr>
            <w:tcW w:w="3460" w:type="dxa"/>
            <w:vAlign w:val="bottom"/>
          </w:tcPr>
          <w:p>
            <w:pPr>
              <w:ind w:left="60"/>
              <w:spacing w:after="0" w:line="222" w:lineRule="exact"/>
              <w:rPr>
                <w:sz w:val="20"/>
                <w:szCs w:val="20"/>
                <w:color w:val="auto"/>
              </w:rPr>
            </w:pPr>
            <w:r>
              <w:rPr>
                <w:rFonts w:ascii="Arial" w:cs="Arial" w:eastAsia="Arial" w:hAnsi="Arial"/>
                <w:sz w:val="20"/>
                <w:szCs w:val="20"/>
                <w:b w:val="1"/>
                <w:bCs w:val="1"/>
                <w:color w:val="auto"/>
              </w:rPr>
              <w:t>Balance at December 31, 2024</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53,833</w:t>
            </w:r>
          </w:p>
        </w:tc>
        <w:tc>
          <w:tcPr>
            <w:tcW w:w="2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w:t>
            </w:r>
          </w:p>
        </w:tc>
        <w:tc>
          <w:tcPr>
            <w:tcW w:w="520" w:type="dxa"/>
            <w:vAlign w:val="bottom"/>
          </w:tcPr>
          <w:p>
            <w:pPr>
              <w:jc w:val="right"/>
              <w:spacing w:after="0" w:line="222" w:lineRule="exact"/>
              <w:rPr>
                <w:sz w:val="20"/>
                <w:szCs w:val="20"/>
                <w:color w:val="auto"/>
              </w:rPr>
            </w:pPr>
            <w:r>
              <w:rPr>
                <w:rFonts w:ascii="Arial" w:cs="Arial" w:eastAsia="Arial" w:hAnsi="Arial"/>
                <w:sz w:val="20"/>
                <w:szCs w:val="20"/>
                <w:color w:val="auto"/>
              </w:rPr>
              <w:t>538</w:t>
            </w:r>
          </w:p>
        </w:tc>
        <w:tc>
          <w:tcPr>
            <w:tcW w:w="80" w:type="dxa"/>
            <w:vAlign w:val="bottom"/>
          </w:tcPr>
          <w:p>
            <w:pPr>
              <w:spacing w:after="0"/>
              <w:rPr>
                <w:sz w:val="19"/>
                <w:szCs w:val="19"/>
                <w:color w:val="auto"/>
              </w:rPr>
            </w:pPr>
          </w:p>
        </w:tc>
        <w:tc>
          <w:tcPr>
            <w:tcW w:w="20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22" w:lineRule="exact"/>
              <w:rPr>
                <w:sz w:val="20"/>
                <w:szCs w:val="20"/>
                <w:color w:val="auto"/>
              </w:rPr>
            </w:pPr>
            <w:r>
              <w:rPr>
                <w:rFonts w:ascii="Arial" w:cs="Arial" w:eastAsia="Arial" w:hAnsi="Arial"/>
                <w:sz w:val="20"/>
                <w:szCs w:val="20"/>
                <w:color w:val="auto"/>
              </w:rPr>
              <w:t>421,749</w:t>
            </w:r>
          </w:p>
        </w:tc>
        <w:tc>
          <w:tcPr>
            <w:tcW w:w="2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w:t>
            </w:r>
          </w:p>
        </w:tc>
        <w:tc>
          <w:tcPr>
            <w:tcW w:w="1300" w:type="dxa"/>
            <w:vAlign w:val="bottom"/>
          </w:tcPr>
          <w:p>
            <w:pPr>
              <w:jc w:val="right"/>
              <w:spacing w:after="0" w:line="222" w:lineRule="exact"/>
              <w:rPr>
                <w:sz w:val="20"/>
                <w:szCs w:val="20"/>
                <w:color w:val="auto"/>
              </w:rPr>
            </w:pPr>
            <w:r>
              <w:rPr>
                <w:rFonts w:ascii="Arial" w:cs="Arial" w:eastAsia="Arial" w:hAnsi="Arial"/>
                <w:sz w:val="20"/>
                <w:szCs w:val="20"/>
                <w:color w:val="auto"/>
              </w:rPr>
              <w:t>(213,635)</w:t>
            </w:r>
          </w:p>
        </w:tc>
        <w:tc>
          <w:tcPr>
            <w:tcW w:w="28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22" w:lineRule="exact"/>
              <w:rPr>
                <w:sz w:val="20"/>
                <w:szCs w:val="20"/>
                <w:color w:val="auto"/>
              </w:rPr>
            </w:pPr>
            <w:r>
              <w:rPr>
                <w:rFonts w:ascii="Arial" w:cs="Arial" w:eastAsia="Arial" w:hAnsi="Arial"/>
                <w:sz w:val="20"/>
                <w:szCs w:val="20"/>
                <w:color w:val="auto"/>
              </w:rPr>
              <w:t>2,364,877</w:t>
            </w:r>
          </w:p>
        </w:tc>
        <w:tc>
          <w:tcPr>
            <w:tcW w:w="320" w:type="dxa"/>
            <w:vAlign w:val="bottom"/>
            <w:gridSpan w:val="2"/>
          </w:tcPr>
          <w:p>
            <w:pPr>
              <w:ind w:left="120"/>
              <w:spacing w:after="0" w:line="222"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22" w:lineRule="exact"/>
              <w:rPr>
                <w:sz w:val="20"/>
                <w:szCs w:val="20"/>
                <w:color w:val="auto"/>
              </w:rPr>
            </w:pPr>
            <w:r>
              <w:rPr>
                <w:rFonts w:ascii="Arial" w:cs="Arial" w:eastAsia="Arial" w:hAnsi="Arial"/>
                <w:sz w:val="20"/>
                <w:szCs w:val="20"/>
                <w:color w:val="auto"/>
              </w:rPr>
              <w:t>2,573,529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-43180</wp:posOffset>
            </wp:positionV>
            <wp:extent cx="4528820" cy="5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28820" cy="5016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10560"/>
          </w:cols>
          <w:pgMar w:left="700" w:top="568"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55</w:t>
      </w:r>
    </w:p>
    <w:p>
      <w:pPr>
        <w:sectPr>
          <w:pgSz w:w="11880" w:h="15480" w:orient="portrait"/>
          <w:cols w:equalWidth="0" w:num="1">
            <w:col w:w="10560"/>
          </w:cols>
          <w:pgMar w:left="700" w:top="568" w:right="620" w:bottom="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OPERATIONS</w:t>
      </w:r>
    </w:p>
    <w:p>
      <w:pPr>
        <w:spacing w:after="0" w:line="171" w:lineRule="exact"/>
        <w:rPr>
          <w:sz w:val="20"/>
          <w:szCs w:val="20"/>
          <w:color w:val="auto"/>
        </w:rPr>
      </w:pPr>
    </w:p>
    <w:p>
      <w:pPr>
        <w:ind w:right="40" w:firstLine="709"/>
        <w:spacing w:after="0" w:line="256" w:lineRule="auto"/>
        <w:rPr>
          <w:sz w:val="20"/>
          <w:szCs w:val="20"/>
          <w:color w:val="auto"/>
        </w:rPr>
      </w:pPr>
      <w:r>
        <w:rPr>
          <w:rFonts w:ascii="Arial" w:cs="Arial" w:eastAsia="Arial" w:hAnsi="Arial"/>
          <w:sz w:val="20"/>
          <w:szCs w:val="20"/>
          <w:color w:val="auto"/>
        </w:rPr>
        <w:t>Clean Harbors, Inc., through its subsidiaries (collectively, the "Company"), is a leading provider of sustainable environmental and industrial services throughout North America. The Company is also the largest re-refiner and recycler of used oil and the premier provider of parts cleaning and related environmental services to commercial, industrial and automotive customers in North America.</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SIGNIFICANT ACCOUNTING POLICIES</w:t>
      </w:r>
    </w:p>
    <w:p>
      <w:pPr>
        <w:spacing w:after="0" w:line="171" w:lineRule="exact"/>
        <w:rPr>
          <w:sz w:val="20"/>
          <w:szCs w:val="20"/>
          <w:color w:val="auto"/>
        </w:rPr>
      </w:pPr>
    </w:p>
    <w:p>
      <w:pPr>
        <w:ind w:right="460" w:firstLine="709"/>
        <w:spacing w:after="0" w:line="276" w:lineRule="auto"/>
        <w:rPr>
          <w:sz w:val="20"/>
          <w:szCs w:val="20"/>
          <w:color w:val="auto"/>
        </w:rPr>
      </w:pPr>
      <w:r>
        <w:rPr>
          <w:rFonts w:ascii="Arial" w:cs="Arial" w:eastAsia="Arial" w:hAnsi="Arial"/>
          <w:sz w:val="20"/>
          <w:szCs w:val="20"/>
          <w:color w:val="auto"/>
        </w:rPr>
        <w:t>The accompanying consolidated financial statements of the Company reflect the application of certain significant accounting policies as described below:</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Principles of Consolidation</w:t>
      </w:r>
    </w:p>
    <w:p>
      <w:pPr>
        <w:spacing w:after="0" w:line="167" w:lineRule="exact"/>
        <w:rPr>
          <w:sz w:val="20"/>
          <w:szCs w:val="20"/>
          <w:color w:val="auto"/>
        </w:rPr>
      </w:pPr>
    </w:p>
    <w:p>
      <w:pPr>
        <w:ind w:right="420" w:firstLine="709"/>
        <w:spacing w:after="0" w:line="303" w:lineRule="auto"/>
        <w:rPr>
          <w:sz w:val="20"/>
          <w:szCs w:val="20"/>
          <w:color w:val="auto"/>
        </w:rPr>
      </w:pPr>
      <w:r>
        <w:rPr>
          <w:rFonts w:ascii="Arial" w:cs="Arial" w:eastAsia="Arial" w:hAnsi="Arial"/>
          <w:sz w:val="19"/>
          <w:szCs w:val="19"/>
          <w:color w:val="auto"/>
        </w:rPr>
        <w:t>The accompanying consolidated financial statements include the accounts of Clean Harbors, Inc. and its majority-owned subsidiaries. All intercompany accounts and transactions have been eliminated in consolidation.</w:t>
      </w:r>
    </w:p>
    <w:p>
      <w:pPr>
        <w:spacing w:after="0" w:line="76"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67" w:lineRule="exact"/>
        <w:rPr>
          <w:sz w:val="20"/>
          <w:szCs w:val="20"/>
          <w:color w:val="auto"/>
        </w:rPr>
      </w:pPr>
    </w:p>
    <w:p>
      <w:pPr>
        <w:ind w:right="140" w:firstLine="709"/>
        <w:spacing w:after="0" w:line="266" w:lineRule="auto"/>
        <w:rPr>
          <w:sz w:val="20"/>
          <w:szCs w:val="20"/>
          <w:color w:val="auto"/>
        </w:rPr>
      </w:pPr>
      <w:r>
        <w:rPr>
          <w:rFonts w:ascii="Arial" w:cs="Arial" w:eastAsia="Arial" w:hAnsi="Arial"/>
          <w:sz w:val="19"/>
          <w:szCs w:val="19"/>
          <w:color w:val="auto"/>
        </w:rPr>
        <w:t>The preparation of consolidated financial statements in conformity with U.S. Generally Accepted Accounting Principles (GAAP), requires management to make estimates and assumptions about future events that affect the amounts reported in the consolidated financial statements and the accompanying notes. Management bases its estimates on historical experience and other assumptions that it believes to be reasonable at the time. Actual results could differ from those estimates, and any such differences may be material to the consolidated financial statements. Estimates and assumptions are reviewed periodically and the effects of changes, if any, are reflected in our consolidated financial statements in the period they are determined.</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Cash, Cash Equivalents, Marketable Securities and Uncashed Checks</w:t>
      </w:r>
    </w:p>
    <w:p>
      <w:pPr>
        <w:spacing w:after="0" w:line="167" w:lineRule="exact"/>
        <w:rPr>
          <w:sz w:val="20"/>
          <w:szCs w:val="20"/>
          <w:color w:val="auto"/>
        </w:rPr>
      </w:pPr>
    </w:p>
    <w:p>
      <w:pPr>
        <w:ind w:right="380" w:firstLine="709"/>
        <w:spacing w:after="0" w:line="256" w:lineRule="auto"/>
        <w:rPr>
          <w:sz w:val="20"/>
          <w:szCs w:val="20"/>
          <w:color w:val="auto"/>
        </w:rPr>
      </w:pPr>
      <w:r>
        <w:rPr>
          <w:rFonts w:ascii="Arial" w:cs="Arial" w:eastAsia="Arial" w:hAnsi="Arial"/>
          <w:sz w:val="20"/>
          <w:szCs w:val="20"/>
          <w:color w:val="auto"/>
        </w:rPr>
        <w:t>Cash consists primarily of cash on deposit and money market accounts. The Company, through its wholly-owned captive insurance subsidiary, invests in cash equivalents and marketable securities. Marketable securities with maturities of three months or less from the date of purchase are classified as cash equivalents. As of December 31, 2024 and 2023, the Company had total marketable securities as follows (in thousands):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20" w:type="dxa"/>
            <w:vAlign w:val="bottom"/>
            <w:tcBorders>
              <w:bottom w:val="single" w:sz="8" w:color="E6E6E6"/>
            </w:tcBorders>
          </w:tcPr>
          <w:p>
            <w:pPr>
              <w:spacing w:after="0"/>
              <w:rPr>
                <w:sz w:val="18"/>
                <w:szCs w:val="18"/>
                <w:color w:val="auto"/>
              </w:rPr>
            </w:pPr>
          </w:p>
        </w:tc>
        <w:tc>
          <w:tcPr>
            <w:tcW w:w="15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5"/>
              </w:rPr>
              <w:t>December 31, 2024</w:t>
            </w:r>
          </w:p>
        </w:tc>
        <w:tc>
          <w:tcPr>
            <w:tcW w:w="80" w:type="dxa"/>
            <w:vAlign w:val="bottom"/>
            <w:tcBorders>
              <w:bottom w:val="single" w:sz="8" w:color="E6E6E6"/>
            </w:tcBorders>
          </w:tcPr>
          <w:p>
            <w:pPr>
              <w:spacing w:after="0"/>
              <w:rPr>
                <w:sz w:val="18"/>
                <w:szCs w:val="18"/>
                <w:color w:val="auto"/>
              </w:rPr>
            </w:pPr>
          </w:p>
        </w:tc>
        <w:tc>
          <w:tcPr>
            <w:tcW w:w="14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4"/>
              </w:rPr>
              <w:t>December 31, 2023</w:t>
            </w:r>
          </w:p>
        </w:tc>
      </w:tr>
      <w:tr>
        <w:trPr>
          <w:trHeight w:val="280"/>
        </w:trPr>
        <w:tc>
          <w:tcPr>
            <w:tcW w:w="7020" w:type="dxa"/>
            <w:vAlign w:val="bottom"/>
            <w:shd w:val="clear" w:color="auto" w:fill="E6E6E6"/>
          </w:tcPr>
          <w:p>
            <w:pPr>
              <w:ind w:left="40"/>
              <w:spacing w:after="0"/>
              <w:rPr>
                <w:sz w:val="20"/>
                <w:szCs w:val="20"/>
                <w:color w:val="auto"/>
              </w:rPr>
            </w:pPr>
            <w:r>
              <w:rPr>
                <w:rFonts w:ascii="Arial" w:cs="Arial" w:eastAsia="Arial" w:hAnsi="Arial"/>
                <w:sz w:val="20"/>
                <w:szCs w:val="20"/>
                <w:color w:val="auto"/>
              </w:rPr>
              <w:t>Commercial paper</w:t>
            </w:r>
          </w:p>
        </w:tc>
        <w:tc>
          <w:tcPr>
            <w:tcW w:w="460" w:type="dxa"/>
            <w:vAlign w:val="bottom"/>
            <w:shd w:val="clear" w:color="auto" w:fill="E6E6E6"/>
          </w:tcPr>
          <w:p>
            <w:pPr>
              <w:jc w:val="right"/>
              <w:ind w:right="208"/>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4,035</w:t>
            </w:r>
          </w:p>
        </w:tc>
        <w:tc>
          <w:tcPr>
            <w:tcW w:w="540" w:type="dxa"/>
            <w:vAlign w:val="bottom"/>
            <w:gridSpan w:val="2"/>
            <w:shd w:val="clear" w:color="auto" w:fill="E6E6E6"/>
          </w:tcPr>
          <w:p>
            <w:pPr>
              <w:jc w:val="right"/>
              <w:ind w:right="231"/>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27,542</w:t>
            </w:r>
          </w:p>
        </w:tc>
      </w:tr>
      <w:tr>
        <w:trPr>
          <w:trHeight w:val="241"/>
        </w:trPr>
        <w:tc>
          <w:tcPr>
            <w:tcW w:w="7020" w:type="dxa"/>
            <w:vAlign w:val="bottom"/>
            <w:tcBorders>
              <w:top w:val="single" w:sz="8" w:color="E6E6E6"/>
              <w:bottom w:val="single" w:sz="8" w:color="E6E6E6"/>
            </w:tcBorders>
          </w:tcPr>
          <w:p>
            <w:pPr>
              <w:ind w:left="320"/>
              <w:spacing w:after="0"/>
              <w:rPr>
                <w:sz w:val="20"/>
                <w:szCs w:val="20"/>
                <w:color w:val="auto"/>
              </w:rPr>
            </w:pPr>
            <w:r>
              <w:rPr>
                <w:rFonts w:ascii="Arial" w:cs="Arial" w:eastAsia="Arial" w:hAnsi="Arial"/>
                <w:sz w:val="20"/>
                <w:szCs w:val="20"/>
                <w:color w:val="auto"/>
              </w:rPr>
              <w:t>Total cash equivalents</w:t>
            </w:r>
          </w:p>
        </w:tc>
        <w:tc>
          <w:tcPr>
            <w:tcW w:w="4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4,035</w:t>
            </w:r>
          </w:p>
        </w:tc>
        <w:tc>
          <w:tcPr>
            <w:tcW w:w="80" w:type="dxa"/>
            <w:vAlign w:val="bottom"/>
            <w:tcBorders>
              <w:top w:val="single" w:sz="8" w:color="E6E6E6"/>
              <w:bottom w:val="single" w:sz="8" w:color="E6E6E6"/>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27,542</w:t>
            </w:r>
          </w:p>
        </w:tc>
      </w:tr>
      <w:tr>
        <w:trPr>
          <w:trHeight w:val="271"/>
        </w:trPr>
        <w:tc>
          <w:tcPr>
            <w:tcW w:w="7020" w:type="dxa"/>
            <w:vAlign w:val="bottom"/>
            <w:shd w:val="clear" w:color="auto" w:fill="E6E6E6"/>
          </w:tcPr>
          <w:p>
            <w:pPr>
              <w:spacing w:after="0"/>
              <w:rPr>
                <w:sz w:val="23"/>
                <w:szCs w:val="23"/>
                <w:color w:val="auto"/>
              </w:rPr>
            </w:pPr>
          </w:p>
        </w:tc>
        <w:tc>
          <w:tcPr>
            <w:tcW w:w="46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46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r>
      <w:tr>
        <w:trPr>
          <w:trHeight w:val="275"/>
        </w:trPr>
        <w:tc>
          <w:tcPr>
            <w:tcW w:w="7020" w:type="dxa"/>
            <w:vAlign w:val="bottom"/>
          </w:tcPr>
          <w:p>
            <w:pPr>
              <w:ind w:left="40"/>
              <w:spacing w:after="0"/>
              <w:rPr>
                <w:sz w:val="20"/>
                <w:szCs w:val="20"/>
                <w:color w:val="auto"/>
              </w:rPr>
            </w:pPr>
            <w:r>
              <w:rPr>
                <w:rFonts w:ascii="Arial" w:cs="Arial" w:eastAsia="Arial" w:hAnsi="Arial"/>
                <w:sz w:val="20"/>
                <w:szCs w:val="20"/>
                <w:color w:val="auto"/>
              </w:rPr>
              <w:t>Commercial paper</w:t>
            </w: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17,489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56,172</w:t>
            </w:r>
          </w:p>
        </w:tc>
      </w:tr>
      <w:tr>
        <w:trPr>
          <w:trHeight w:val="296"/>
        </w:trPr>
        <w:tc>
          <w:tcPr>
            <w:tcW w:w="70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Corporate notes and bonds</w:t>
            </w:r>
          </w:p>
        </w:tc>
        <w:tc>
          <w:tcPr>
            <w:tcW w:w="46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85,145</w:t>
            </w:r>
          </w:p>
        </w:tc>
        <w:tc>
          <w:tcPr>
            <w:tcW w:w="8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49,929</w:t>
            </w:r>
          </w:p>
        </w:tc>
      </w:tr>
      <w:tr>
        <w:trPr>
          <w:trHeight w:val="241"/>
        </w:trPr>
        <w:tc>
          <w:tcPr>
            <w:tcW w:w="7020" w:type="dxa"/>
            <w:vAlign w:val="bottom"/>
            <w:tcBorders>
              <w:bottom w:val="single" w:sz="8" w:color="E6E6E6"/>
            </w:tcBorders>
          </w:tcPr>
          <w:p>
            <w:pPr>
              <w:ind w:left="320"/>
              <w:spacing w:after="0"/>
              <w:rPr>
                <w:sz w:val="20"/>
                <w:szCs w:val="20"/>
                <w:color w:val="auto"/>
              </w:rPr>
            </w:pPr>
            <w:r>
              <w:rPr>
                <w:rFonts w:ascii="Arial" w:cs="Arial" w:eastAsia="Arial" w:hAnsi="Arial"/>
                <w:sz w:val="20"/>
                <w:szCs w:val="20"/>
                <w:color w:val="auto"/>
              </w:rPr>
              <w:t>Total marketable securities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102,634</w:t>
            </w:r>
          </w:p>
        </w:tc>
        <w:tc>
          <w:tcPr>
            <w:tcW w:w="80" w:type="dxa"/>
            <w:vAlign w:val="bottom"/>
            <w:tcBorders>
              <w:bottom w:val="single" w:sz="8" w:color="E6E6E6"/>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106,101</w:t>
            </w:r>
          </w:p>
        </w:tc>
      </w:tr>
      <w:tr>
        <w:trPr>
          <w:trHeight w:val="280"/>
        </w:trPr>
        <w:tc>
          <w:tcPr>
            <w:tcW w:w="7020" w:type="dxa"/>
            <w:vAlign w:val="bottom"/>
            <w:tcBorders>
              <w:bottom w:val="single" w:sz="8" w:color="E6E6E6"/>
            </w:tcBorders>
            <w:shd w:val="clear" w:color="auto" w:fill="E6E6E6"/>
          </w:tcPr>
          <w:p>
            <w:pPr>
              <w:ind w:left="320"/>
              <w:spacing w:after="0"/>
              <w:rPr>
                <w:sz w:val="20"/>
                <w:szCs w:val="20"/>
                <w:color w:val="auto"/>
              </w:rPr>
            </w:pPr>
            <w:r>
              <w:rPr>
                <w:rFonts w:ascii="Arial" w:cs="Arial" w:eastAsia="Arial" w:hAnsi="Arial"/>
                <w:sz w:val="20"/>
                <w:szCs w:val="20"/>
                <w:color w:val="auto"/>
              </w:rPr>
              <w:t>Total</w:t>
            </w:r>
          </w:p>
        </w:tc>
        <w:tc>
          <w:tcPr>
            <w:tcW w:w="460" w:type="dxa"/>
            <w:vAlign w:val="bottom"/>
            <w:tcBorders>
              <w:bottom w:val="single" w:sz="8" w:color="auto"/>
            </w:tcBorders>
            <w:shd w:val="clear" w:color="auto" w:fill="E6E6E6"/>
          </w:tcPr>
          <w:p>
            <w:pPr>
              <w:jc w:val="right"/>
              <w:ind w:right="208"/>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106,669</w:t>
            </w:r>
          </w:p>
        </w:tc>
        <w:tc>
          <w:tcPr>
            <w:tcW w:w="8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ind w:right="23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133,643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4462145</wp:posOffset>
            </wp:positionH>
            <wp:positionV relativeFrom="paragraph">
              <wp:posOffset>-43180</wp:posOffset>
            </wp:positionV>
            <wp:extent cx="1967230" cy="50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67230" cy="50165"/>
                    </a:xfrm>
                    <a:prstGeom prst="rect">
                      <a:avLst/>
                    </a:prstGeom>
                    <a:noFill/>
                  </pic:spPr>
                </pic:pic>
              </a:graphicData>
            </a:graphic>
          </wp:anchor>
        </w:drawing>
      </w:r>
    </w:p>
    <w:p>
      <w:pPr>
        <w:spacing w:after="0" w:line="14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Realized gains and losses on sales of available-for-sale marketable securities in the years presented were immaterial.</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marketable securities have a remaining maturity of less than one year and fair value approximates cost.</w:t>
      </w:r>
    </w:p>
    <w:p>
      <w:pPr>
        <w:spacing w:after="0" w:line="187" w:lineRule="exact"/>
        <w:rPr>
          <w:sz w:val="20"/>
          <w:szCs w:val="20"/>
          <w:color w:val="auto"/>
        </w:rPr>
      </w:pPr>
    </w:p>
    <w:p>
      <w:pPr>
        <w:ind w:right="40" w:firstLine="709"/>
        <w:spacing w:after="0" w:line="327" w:lineRule="auto"/>
        <w:rPr>
          <w:sz w:val="20"/>
          <w:szCs w:val="20"/>
          <w:color w:val="auto"/>
        </w:rPr>
      </w:pPr>
      <w:r>
        <w:rPr>
          <w:rFonts w:ascii="Arial" w:cs="Arial" w:eastAsia="Arial" w:hAnsi="Arial"/>
          <w:sz w:val="16"/>
          <w:szCs w:val="16"/>
          <w:color w:val="auto"/>
        </w:rPr>
        <w:t>The Company's cash management program with its revolving credit lender allows the Company to maintain a zero balance in the U.S. bank disbursement accounts that are used to issue vendor and payroll checks. When checks are presented to the bank for payment, cash deposits in amounts sufficient to fund the checks are made, at the Company's discretion, either from funds provided by other accounts or under the terms of the Company's revolving credit facility. Checks that have been written to vendors or employees but have not yet been presented for payment at the Company's bank are classified as uncashed checks in accounts payable and changes in the balance are reported as a financing activity in the consolidated statements of cash flows.</w:t>
      </w:r>
    </w:p>
    <w:p>
      <w:pPr>
        <w:spacing w:after="0" w:line="6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Allowance for Doubtful Accounts and Revenue Allowance</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On a regular basis, the Company evaluates its accounts receivable and establishes the allowance for doubtful accounts</w:t>
      </w:r>
    </w:p>
    <w:p>
      <w:pPr>
        <w:sectPr>
          <w:pgSz w:w="11880" w:h="15480" w:orient="portrait"/>
          <w:cols w:equalWidth="0" w:num="1">
            <w:col w:w="10100"/>
          </w:cols>
          <w:pgMar w:left="880" w:top="3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880" w:h="15480" w:orient="portrait"/>
          <w:cols w:equalWidth="0" w:num="1">
            <w:col w:w="10100"/>
          </w:cols>
          <w:pgMar w:left="880" w:top="338" w:right="900" w:bottom="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440"/>
        <w:spacing w:after="0" w:line="256" w:lineRule="auto"/>
        <w:rPr>
          <w:sz w:val="20"/>
          <w:szCs w:val="20"/>
          <w:color w:val="auto"/>
        </w:rPr>
      </w:pPr>
      <w:r>
        <w:rPr>
          <w:rFonts w:ascii="Arial" w:cs="Arial" w:eastAsia="Arial" w:hAnsi="Arial"/>
          <w:sz w:val="20"/>
          <w:szCs w:val="20"/>
          <w:color w:val="auto"/>
        </w:rPr>
        <w:t>based on an evaluation of certain criteria and evidence of collection uncertainty including historical collection trends, reasonable expectations of future collections, current economic trends and changes in customer payment patterns. Past-due receivable balances are written off when the Company's collection efforts have been deemed unsuccessful in collecting the outstanding balance due.</w:t>
      </w:r>
    </w:p>
    <w:p>
      <w:pPr>
        <w:spacing w:after="0" w:line="122" w:lineRule="exact"/>
        <w:rPr>
          <w:sz w:val="20"/>
          <w:szCs w:val="20"/>
          <w:color w:val="auto"/>
        </w:rPr>
      </w:pPr>
    </w:p>
    <w:p>
      <w:pPr>
        <w:ind w:right="60" w:firstLine="709"/>
        <w:spacing w:after="0" w:line="318" w:lineRule="auto"/>
        <w:rPr>
          <w:sz w:val="20"/>
          <w:szCs w:val="20"/>
          <w:color w:val="auto"/>
        </w:rPr>
      </w:pPr>
      <w:r>
        <w:rPr>
          <w:rFonts w:ascii="Arial" w:cs="Arial" w:eastAsia="Arial" w:hAnsi="Arial"/>
          <w:sz w:val="16"/>
          <w:szCs w:val="16"/>
          <w:color w:val="auto"/>
        </w:rPr>
        <w:t>Due to the nature of the Company's businesses and the invoices that result from the services provided, customers may withhold payments and attempt to renegotiate amounts invoiced. In addition, for some of the services provided, the Company's invoices are based on quotes that, in limited instances, can result in adjustments to revenue subsequent to billing. Based on industry knowledge and historical trends, the Company records a revenue allowance in anticipation of these expected adjustments. This practice causes the volume of activity flowing through the revenue allowance during the year to be higher than the balance at the end of the year. The revenue allowance is intended to cover the net amount of revenue adjustments that may need to be credited to customers' accounts in future periods. Management determines the appropriate total revenue allowance by evaluating the following factors on an invoice-by-invoice basis as well as on a consolidated level: trends in adjustments to previously billed amounts, existing economic conditions, communications with customers and other information as deemed applicable. Revenue allowance estimates can differ from the actual adjustments, but historically the revenue allowance has been sufficient to cover the net amount of the reserve adjustments issued in subsequent reporting periods.</w:t>
      </w:r>
    </w:p>
    <w:p>
      <w:pPr>
        <w:spacing w:after="0" w:line="3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reflects the activity in the allowance for doubtful accounts and revenue allowance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right"/>
              <w:ind w:right="385"/>
              <w:spacing w:after="0"/>
              <w:rPr>
                <w:sz w:val="20"/>
                <w:szCs w:val="20"/>
                <w:color w:val="auto"/>
              </w:rPr>
            </w:pPr>
            <w:r>
              <w:rPr>
                <w:rFonts w:ascii="Arial" w:cs="Arial" w:eastAsia="Arial" w:hAnsi="Arial"/>
                <w:sz w:val="16"/>
                <w:szCs w:val="16"/>
                <w:b w:val="1"/>
                <w:bCs w:val="1"/>
                <w:color w:val="auto"/>
                <w:w w:val="97"/>
              </w:rPr>
              <w:t>Allowance for Doubtful Accounts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w w:val="86"/>
              </w:rPr>
              <w:t>Revenue Allowance</w:t>
            </w:r>
          </w:p>
        </w:tc>
        <w:tc>
          <w:tcPr>
            <w:tcW w:w="780" w:type="dxa"/>
            <w:vAlign w:val="bottom"/>
            <w:tcBorders>
              <w:bottom w:val="single" w:sz="8" w:color="auto"/>
            </w:tcBorders>
          </w:tcPr>
          <w:p>
            <w:pPr>
              <w:spacing w:after="0"/>
              <w:rPr>
                <w:sz w:val="18"/>
                <w:szCs w:val="18"/>
                <w:color w:val="auto"/>
              </w:rPr>
            </w:pPr>
          </w:p>
        </w:tc>
      </w:tr>
      <w:tr>
        <w:trPr>
          <w:trHeight w:val="216"/>
        </w:trPr>
        <w:tc>
          <w:tcPr>
            <w:tcW w:w="362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2022</w:t>
            </w:r>
          </w:p>
        </w:tc>
      </w:tr>
      <w:tr>
        <w:trPr>
          <w:trHeight w:val="286"/>
        </w:trPr>
        <w:tc>
          <w:tcPr>
            <w:tcW w:w="3620" w:type="dxa"/>
            <w:vAlign w:val="bottom"/>
            <w:shd w:val="clear" w:color="auto" w:fill="E6E6E6"/>
          </w:tcPr>
          <w:p>
            <w:pPr>
              <w:ind w:left="60"/>
              <w:spacing w:after="0"/>
              <w:rPr>
                <w:sz w:val="20"/>
                <w:szCs w:val="20"/>
                <w:color w:val="auto"/>
              </w:rPr>
            </w:pPr>
            <w:r>
              <w:rPr>
                <w:rFonts w:ascii="Arial" w:cs="Arial" w:eastAsia="Arial" w:hAnsi="Arial"/>
                <w:sz w:val="20"/>
                <w:szCs w:val="20"/>
                <w:color w:val="auto"/>
              </w:rPr>
              <w:t>Balance at January 1,</w:t>
            </w:r>
          </w:p>
        </w:tc>
        <w:tc>
          <w:tcPr>
            <w:tcW w:w="26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22,568</w:t>
            </w:r>
          </w:p>
        </w:tc>
        <w:tc>
          <w:tcPr>
            <w:tcW w:w="34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24,659</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24,136</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19,641</w:t>
            </w:r>
          </w:p>
        </w:tc>
        <w:tc>
          <w:tcPr>
            <w:tcW w:w="400" w:type="dxa"/>
            <w:vAlign w:val="bottom"/>
            <w:gridSpan w:val="3"/>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20,594</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16,004</w:t>
            </w:r>
          </w:p>
        </w:tc>
      </w:tr>
      <w:tr>
        <w:trPr>
          <w:trHeight w:val="290"/>
        </w:trPr>
        <w:tc>
          <w:tcPr>
            <w:tcW w:w="3620" w:type="dxa"/>
            <w:vAlign w:val="bottom"/>
          </w:tcPr>
          <w:p>
            <w:pPr>
              <w:ind w:left="60"/>
              <w:spacing w:after="0"/>
              <w:rPr>
                <w:sz w:val="20"/>
                <w:szCs w:val="20"/>
                <w:color w:val="auto"/>
              </w:rPr>
            </w:pPr>
            <w:r>
              <w:rPr>
                <w:rFonts w:ascii="Arial" w:cs="Arial" w:eastAsia="Arial" w:hAnsi="Arial"/>
                <w:sz w:val="20"/>
                <w:szCs w:val="20"/>
                <w:color w:val="auto"/>
              </w:rPr>
              <w:t>Additions charged to earnings</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8,129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5,956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7,783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48,301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46,467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54,836</w:t>
            </w:r>
          </w:p>
        </w:tc>
      </w:tr>
      <w:tr>
        <w:trPr>
          <w:trHeight w:val="291"/>
        </w:trPr>
        <w:tc>
          <w:tcPr>
            <w:tcW w:w="3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w w:val="91"/>
              </w:rPr>
              <w:t>Deductions from reserves, net of recoveries</w:t>
            </w:r>
          </w:p>
        </w:tc>
        <w:tc>
          <w:tcPr>
            <w:tcW w:w="26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(7,789)</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(8,047)</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(7,260)</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20"/>
                <w:szCs w:val="20"/>
                <w:color w:val="auto"/>
              </w:rPr>
              <w:t>(43,608)</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9"/>
              </w:rPr>
              <w:t>(47,420)</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9"/>
              </w:rPr>
              <w:t>(50,246)</w:t>
            </w:r>
          </w:p>
        </w:tc>
      </w:tr>
      <w:tr>
        <w:trPr>
          <w:trHeight w:val="256"/>
        </w:trPr>
        <w:tc>
          <w:tcPr>
            <w:tcW w:w="3620" w:type="dxa"/>
            <w:vAlign w:val="bottom"/>
          </w:tcPr>
          <w:p>
            <w:pPr>
              <w:ind w:left="60"/>
              <w:spacing w:after="0"/>
              <w:rPr>
                <w:sz w:val="20"/>
                <w:szCs w:val="20"/>
                <w:color w:val="auto"/>
              </w:rPr>
            </w:pPr>
            <w:r>
              <w:rPr>
                <w:rFonts w:ascii="Arial" w:cs="Arial" w:eastAsia="Arial" w:hAnsi="Arial"/>
                <w:sz w:val="20"/>
                <w:szCs w:val="20"/>
                <w:color w:val="auto"/>
              </w:rPr>
              <w:t>Balance at December 31,</w:t>
            </w: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22,908</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22,568</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24,659</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24,334</w:t>
            </w:r>
          </w:p>
        </w:tc>
        <w:tc>
          <w:tcPr>
            <w:tcW w:w="40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19,641</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20,594</w:t>
            </w:r>
          </w:p>
        </w:tc>
      </w:tr>
      <w:tr>
        <w:trPr>
          <w:trHeight w:val="20"/>
        </w:trPr>
        <w:tc>
          <w:tcPr>
            <w:tcW w:w="3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-43180</wp:posOffset>
            </wp:positionV>
            <wp:extent cx="4144010" cy="501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44010" cy="50165"/>
                    </a:xfrm>
                    <a:prstGeom prst="rect">
                      <a:avLst/>
                    </a:prstGeom>
                    <a:noFill/>
                  </pic:spPr>
                </pic:pic>
              </a:graphicData>
            </a:graphic>
          </wp:anchor>
        </w:drawing>
      </w:r>
    </w:p>
    <w:p>
      <w:pPr>
        <w:spacing w:after="0" w:line="142"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Credit Concentration</w:t>
      </w:r>
    </w:p>
    <w:p>
      <w:pPr>
        <w:spacing w:after="0" w:line="167" w:lineRule="exact"/>
        <w:rPr>
          <w:sz w:val="20"/>
          <w:szCs w:val="20"/>
          <w:color w:val="auto"/>
        </w:rPr>
      </w:pPr>
    </w:p>
    <w:p>
      <w:pPr>
        <w:ind w:right="60" w:firstLine="709"/>
        <w:spacing w:after="0" w:line="289" w:lineRule="auto"/>
        <w:rPr>
          <w:sz w:val="20"/>
          <w:szCs w:val="20"/>
          <w:color w:val="auto"/>
        </w:rPr>
      </w:pPr>
      <w:r>
        <w:rPr>
          <w:rFonts w:ascii="Arial" w:cs="Arial" w:eastAsia="Arial" w:hAnsi="Arial"/>
          <w:sz w:val="18"/>
          <w:szCs w:val="18"/>
          <w:color w:val="auto"/>
        </w:rPr>
        <w:t>Concentration of credit risks in accounts receivable is limited due to the large number of customers comprising the Company's customer base throughout North America. The Company maintains policies over credit extension that include credit evaluations, credit limits and collection monitoring procedures on a customer-by-customer basis. However, the Company generally does not require collateral before services are performed. No individual customer accounted for more than 10% of accounts receivable or more than 10% of total third-party revenues in the periods presented.</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Inventories and Supplies</w:t>
      </w:r>
    </w:p>
    <w:p>
      <w:pPr>
        <w:spacing w:after="0" w:line="167" w:lineRule="exact"/>
        <w:rPr>
          <w:sz w:val="20"/>
          <w:szCs w:val="20"/>
          <w:color w:val="auto"/>
        </w:rPr>
      </w:pPr>
    </w:p>
    <w:p>
      <w:pPr>
        <w:ind w:right="120" w:firstLine="709"/>
        <w:spacing w:after="0" w:line="256" w:lineRule="auto"/>
        <w:rPr>
          <w:sz w:val="20"/>
          <w:szCs w:val="20"/>
          <w:color w:val="auto"/>
        </w:rPr>
      </w:pPr>
      <w:r>
        <w:rPr>
          <w:rFonts w:ascii="Arial" w:cs="Arial" w:eastAsia="Arial" w:hAnsi="Arial"/>
          <w:sz w:val="20"/>
          <w:szCs w:val="20"/>
          <w:color w:val="auto"/>
        </w:rPr>
        <w:t>Inventories are stated at the lower of cost or net realizable value. The cost of oil and oil products as well as the cost of supplies and drums, solvent and solution and other inventories is principally determined on a first-in, first-out ("FIFO") basis. The Company continually reviews its inventories for obsolete or unsalable items and adjusts its carrying value to reflect estimated realizable values.</w:t>
      </w:r>
    </w:p>
    <w:p>
      <w:pPr>
        <w:spacing w:after="0" w:line="119" w:lineRule="exact"/>
        <w:rPr>
          <w:sz w:val="20"/>
          <w:szCs w:val="20"/>
          <w:color w:val="auto"/>
        </w:rPr>
      </w:pPr>
    </w:p>
    <w:p>
      <w:pPr>
        <w:ind w:left="720"/>
        <w:spacing w:after="0"/>
        <w:rPr>
          <w:sz w:val="20"/>
          <w:szCs w:val="20"/>
          <w:color w:val="auto"/>
        </w:rPr>
      </w:pPr>
      <w:r>
        <w:rPr>
          <w:rFonts w:ascii="Arial" w:cs="Arial" w:eastAsia="Arial" w:hAnsi="Arial"/>
          <w:sz w:val="19"/>
          <w:szCs w:val="19"/>
          <w:b w:val="1"/>
          <w:bCs w:val="1"/>
          <w:i w:val="1"/>
          <w:iCs w:val="1"/>
          <w:color w:val="auto"/>
        </w:rPr>
        <w:t>Property, Plant and Equipment, net (excluding landfill assets and finance lease right-of-use assets)</w:t>
      </w:r>
    </w:p>
    <w:p>
      <w:pPr>
        <w:spacing w:after="0" w:line="178" w:lineRule="exact"/>
        <w:rPr>
          <w:sz w:val="20"/>
          <w:szCs w:val="20"/>
          <w:color w:val="auto"/>
        </w:rPr>
      </w:pPr>
    </w:p>
    <w:p>
      <w:pPr>
        <w:ind w:right="20" w:firstLine="709"/>
        <w:spacing w:after="0" w:line="289" w:lineRule="auto"/>
        <w:rPr>
          <w:sz w:val="20"/>
          <w:szCs w:val="20"/>
          <w:color w:val="auto"/>
        </w:rPr>
      </w:pPr>
      <w:r>
        <w:rPr>
          <w:rFonts w:ascii="Arial" w:cs="Arial" w:eastAsia="Arial" w:hAnsi="Arial"/>
          <w:sz w:val="18"/>
          <w:szCs w:val="18"/>
          <w:color w:val="auto"/>
        </w:rPr>
        <w:t>Property, plant and equipment, net is stated at cost less accumulated depreciation. Expenditures for major renewals and improvements which extend the life or usefulness of the asset are capitalized. Items of an ordinary repair or maintenance nature are charged directly to operating expense as incurred. During the construction and development period of an asset, the costs incurred, including interest expense, are classified as construction-in-progress. When the asset is ready for its intended use, the asset is reclassified to an appropriate asset classification and depreciation or amortization commences.</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880" w:h="15480" w:orient="portrait"/>
          <w:cols w:equalWidth="0" w:num="1">
            <w:col w:w="10120"/>
          </w:cols>
          <w:pgMar w:left="880" w:top="338" w:right="880" w:bottom="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 depreciates and amortizes the capitalized cost of these assets, using the straight-line method as follows: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4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Asset Classification</w:t>
            </w:r>
          </w:p>
        </w:tc>
        <w:tc>
          <w:tcPr>
            <w:tcW w:w="80" w:type="dxa"/>
            <w:vAlign w:val="bottom"/>
            <w:tcBorders>
              <w:bottom w:val="single" w:sz="8" w:color="E6E6E6"/>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Estimated Useful Life</w:t>
            </w:r>
          </w:p>
        </w:tc>
      </w:tr>
      <w:tr>
        <w:trPr>
          <w:trHeight w:val="286"/>
        </w:trPr>
        <w:tc>
          <w:tcPr>
            <w:tcW w:w="8400" w:type="dxa"/>
            <w:vAlign w:val="bottom"/>
            <w:shd w:val="clear" w:color="auto" w:fill="E6E6E6"/>
          </w:tcPr>
          <w:p>
            <w:pPr>
              <w:ind w:left="60"/>
              <w:spacing w:after="0"/>
              <w:rPr>
                <w:sz w:val="20"/>
                <w:szCs w:val="20"/>
                <w:color w:val="auto"/>
              </w:rPr>
            </w:pPr>
            <w:r>
              <w:rPr>
                <w:rFonts w:ascii="Arial" w:cs="Arial" w:eastAsia="Arial" w:hAnsi="Arial"/>
                <w:sz w:val="20"/>
                <w:szCs w:val="20"/>
                <w:color w:val="auto"/>
              </w:rPr>
              <w:t>Buildings and building improvements</w:t>
            </w:r>
          </w:p>
        </w:tc>
        <w:tc>
          <w:tcPr>
            <w:tcW w:w="80" w:type="dxa"/>
            <w:vAlign w:val="bottom"/>
            <w:shd w:val="clear" w:color="auto" w:fill="E6E6E6"/>
          </w:tcPr>
          <w:p>
            <w:pPr>
              <w:spacing w:after="0"/>
              <w:rPr>
                <w:sz w:val="24"/>
                <w:szCs w:val="24"/>
                <w:color w:val="auto"/>
              </w:rPr>
            </w:pPr>
          </w:p>
        </w:tc>
        <w:tc>
          <w:tcPr>
            <w:tcW w:w="1600" w:type="dxa"/>
            <w:vAlign w:val="bottom"/>
            <w:shd w:val="clear" w:color="auto" w:fill="E6E6E6"/>
          </w:tcPr>
          <w:p>
            <w:pPr>
              <w:spacing w:after="0"/>
              <w:rPr>
                <w:sz w:val="24"/>
                <w:szCs w:val="24"/>
                <w:color w:val="auto"/>
              </w:rPr>
            </w:pPr>
          </w:p>
        </w:tc>
      </w:tr>
      <w:tr>
        <w:trPr>
          <w:trHeight w:val="290"/>
        </w:trPr>
        <w:tc>
          <w:tcPr>
            <w:tcW w:w="8400" w:type="dxa"/>
            <w:vAlign w:val="bottom"/>
          </w:tcPr>
          <w:p>
            <w:pPr>
              <w:ind w:left="180"/>
              <w:spacing w:after="0"/>
              <w:rPr>
                <w:sz w:val="20"/>
                <w:szCs w:val="20"/>
                <w:color w:val="auto"/>
              </w:rPr>
            </w:pPr>
            <w:r>
              <w:rPr>
                <w:rFonts w:ascii="Arial" w:cs="Arial" w:eastAsia="Arial" w:hAnsi="Arial"/>
                <w:sz w:val="20"/>
                <w:szCs w:val="20"/>
                <w:color w:val="auto"/>
              </w:rPr>
              <w:t>Buildings</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7"/>
              </w:rPr>
              <w:t>20-42 years</w:t>
            </w:r>
          </w:p>
        </w:tc>
      </w:tr>
      <w:tr>
        <w:trPr>
          <w:trHeight w:val="301"/>
        </w:trPr>
        <w:tc>
          <w:tcPr>
            <w:tcW w:w="84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Leasehold and building improvements</w:t>
            </w:r>
          </w:p>
        </w:tc>
        <w:tc>
          <w:tcPr>
            <w:tcW w:w="80" w:type="dxa"/>
            <w:vAlign w:val="bottom"/>
            <w:shd w:val="clear" w:color="auto" w:fill="E6E6E6"/>
          </w:tcPr>
          <w:p>
            <w:pPr>
              <w:spacing w:after="0"/>
              <w:rPr>
                <w:sz w:val="24"/>
                <w:szCs w:val="24"/>
                <w:color w:val="auto"/>
              </w:rPr>
            </w:pPr>
          </w:p>
        </w:tc>
        <w:tc>
          <w:tcPr>
            <w:tcW w:w="160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8"/>
              </w:rPr>
              <w:t>2-45 years</w:t>
            </w:r>
          </w:p>
        </w:tc>
      </w:tr>
      <w:tr>
        <w:trPr>
          <w:trHeight w:val="290"/>
        </w:trPr>
        <w:tc>
          <w:tcPr>
            <w:tcW w:w="8400" w:type="dxa"/>
            <w:vAlign w:val="bottom"/>
          </w:tcPr>
          <w:p>
            <w:pPr>
              <w:ind w:left="60"/>
              <w:spacing w:after="0"/>
              <w:rPr>
                <w:sz w:val="20"/>
                <w:szCs w:val="20"/>
                <w:color w:val="auto"/>
              </w:rPr>
            </w:pPr>
            <w:r>
              <w:rPr>
                <w:rFonts w:ascii="Arial" w:cs="Arial" w:eastAsia="Arial" w:hAnsi="Arial"/>
                <w:sz w:val="20"/>
                <w:szCs w:val="20"/>
                <w:color w:val="auto"/>
              </w:rPr>
              <w:t>Vehicles</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8"/>
              </w:rPr>
              <w:t>2-15 years</w:t>
            </w:r>
          </w:p>
        </w:tc>
      </w:tr>
      <w:tr>
        <w:trPr>
          <w:trHeight w:val="301"/>
        </w:trPr>
        <w:tc>
          <w:tcPr>
            <w:tcW w:w="8400" w:type="dxa"/>
            <w:vAlign w:val="bottom"/>
            <w:shd w:val="clear" w:color="auto" w:fill="E6E6E6"/>
          </w:tcPr>
          <w:p>
            <w:pPr>
              <w:ind w:left="60"/>
              <w:spacing w:after="0"/>
              <w:rPr>
                <w:sz w:val="20"/>
                <w:szCs w:val="20"/>
                <w:color w:val="auto"/>
              </w:rPr>
            </w:pPr>
            <w:r>
              <w:rPr>
                <w:rFonts w:ascii="Arial" w:cs="Arial" w:eastAsia="Arial" w:hAnsi="Arial"/>
                <w:sz w:val="20"/>
                <w:szCs w:val="20"/>
                <w:color w:val="auto"/>
              </w:rPr>
              <w:t>Equipment</w:t>
            </w:r>
          </w:p>
        </w:tc>
        <w:tc>
          <w:tcPr>
            <w:tcW w:w="80" w:type="dxa"/>
            <w:vAlign w:val="bottom"/>
            <w:shd w:val="clear" w:color="auto" w:fill="E6E6E6"/>
          </w:tcPr>
          <w:p>
            <w:pPr>
              <w:spacing w:after="0"/>
              <w:rPr>
                <w:sz w:val="24"/>
                <w:szCs w:val="24"/>
                <w:color w:val="auto"/>
              </w:rPr>
            </w:pPr>
          </w:p>
        </w:tc>
        <w:tc>
          <w:tcPr>
            <w:tcW w:w="1600" w:type="dxa"/>
            <w:vAlign w:val="bottom"/>
            <w:shd w:val="clear" w:color="auto" w:fill="E6E6E6"/>
          </w:tcPr>
          <w:p>
            <w:pPr>
              <w:spacing w:after="0"/>
              <w:rPr>
                <w:sz w:val="24"/>
                <w:szCs w:val="24"/>
                <w:color w:val="auto"/>
              </w:rPr>
            </w:pPr>
          </w:p>
        </w:tc>
      </w:tr>
      <w:tr>
        <w:trPr>
          <w:trHeight w:val="290"/>
        </w:trPr>
        <w:tc>
          <w:tcPr>
            <w:tcW w:w="8400" w:type="dxa"/>
            <w:vAlign w:val="bottom"/>
          </w:tcPr>
          <w:p>
            <w:pPr>
              <w:ind w:left="180"/>
              <w:spacing w:after="0"/>
              <w:rPr>
                <w:sz w:val="20"/>
                <w:szCs w:val="20"/>
                <w:color w:val="auto"/>
              </w:rPr>
            </w:pPr>
            <w:r>
              <w:rPr>
                <w:rFonts w:ascii="Arial" w:cs="Arial" w:eastAsia="Arial" w:hAnsi="Arial"/>
                <w:sz w:val="20"/>
                <w:szCs w:val="20"/>
                <w:color w:val="auto"/>
              </w:rPr>
              <w:t>Capitalized software and computer equipment</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3-5 years</w:t>
            </w:r>
          </w:p>
        </w:tc>
      </w:tr>
      <w:tr>
        <w:trPr>
          <w:trHeight w:val="301"/>
        </w:trPr>
        <w:tc>
          <w:tcPr>
            <w:tcW w:w="84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Containers and railcars</w:t>
            </w:r>
          </w:p>
        </w:tc>
        <w:tc>
          <w:tcPr>
            <w:tcW w:w="80" w:type="dxa"/>
            <w:vAlign w:val="bottom"/>
            <w:shd w:val="clear" w:color="auto" w:fill="E6E6E6"/>
          </w:tcPr>
          <w:p>
            <w:pPr>
              <w:spacing w:after="0"/>
              <w:rPr>
                <w:sz w:val="24"/>
                <w:szCs w:val="24"/>
                <w:color w:val="auto"/>
              </w:rPr>
            </w:pPr>
          </w:p>
        </w:tc>
        <w:tc>
          <w:tcPr>
            <w:tcW w:w="160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8"/>
              </w:rPr>
              <w:t>8-16 years</w:t>
            </w:r>
          </w:p>
        </w:tc>
      </w:tr>
      <w:tr>
        <w:trPr>
          <w:trHeight w:val="290"/>
        </w:trPr>
        <w:tc>
          <w:tcPr>
            <w:tcW w:w="8400" w:type="dxa"/>
            <w:vAlign w:val="bottom"/>
          </w:tcPr>
          <w:p>
            <w:pPr>
              <w:ind w:left="180"/>
              <w:spacing w:after="0"/>
              <w:rPr>
                <w:sz w:val="20"/>
                <w:szCs w:val="20"/>
                <w:color w:val="auto"/>
              </w:rPr>
            </w:pPr>
            <w:r>
              <w:rPr>
                <w:rFonts w:ascii="Arial" w:cs="Arial" w:eastAsia="Arial" w:hAnsi="Arial"/>
                <w:sz w:val="20"/>
                <w:szCs w:val="20"/>
                <w:color w:val="auto"/>
              </w:rPr>
              <w:t>All other equipment</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8"/>
              </w:rPr>
              <w:t>4-30 years</w:t>
            </w:r>
          </w:p>
        </w:tc>
      </w:tr>
      <w:tr>
        <w:trPr>
          <w:trHeight w:val="301"/>
        </w:trPr>
        <w:tc>
          <w:tcPr>
            <w:tcW w:w="8400" w:type="dxa"/>
            <w:vAlign w:val="bottom"/>
            <w:shd w:val="clear" w:color="auto" w:fill="E6E6E6"/>
          </w:tcPr>
          <w:p>
            <w:pPr>
              <w:ind w:left="60"/>
              <w:spacing w:after="0"/>
              <w:rPr>
                <w:sz w:val="20"/>
                <w:szCs w:val="20"/>
                <w:color w:val="auto"/>
              </w:rPr>
            </w:pPr>
            <w:r>
              <w:rPr>
                <w:rFonts w:ascii="Arial" w:cs="Arial" w:eastAsia="Arial" w:hAnsi="Arial"/>
                <w:sz w:val="20"/>
                <w:szCs w:val="20"/>
                <w:color w:val="auto"/>
              </w:rPr>
              <w:t>Furniture and fixtures</w:t>
            </w:r>
          </w:p>
        </w:tc>
        <w:tc>
          <w:tcPr>
            <w:tcW w:w="80" w:type="dxa"/>
            <w:vAlign w:val="bottom"/>
            <w:shd w:val="clear" w:color="auto" w:fill="E6E6E6"/>
          </w:tcPr>
          <w:p>
            <w:pPr>
              <w:spacing w:after="0"/>
              <w:rPr>
                <w:sz w:val="24"/>
                <w:szCs w:val="24"/>
                <w:color w:val="auto"/>
              </w:rPr>
            </w:pPr>
          </w:p>
        </w:tc>
        <w:tc>
          <w:tcPr>
            <w:tcW w:w="160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6"/>
              </w:rPr>
              <w:t>5-8 years</w:t>
            </w:r>
          </w:p>
        </w:tc>
      </w:tr>
    </w:tbl>
    <w:p>
      <w:pPr>
        <w:spacing w:after="0" w:line="194" w:lineRule="exact"/>
        <w:rPr>
          <w:sz w:val="20"/>
          <w:szCs w:val="20"/>
          <w:color w:val="auto"/>
        </w:rPr>
      </w:pPr>
    </w:p>
    <w:p>
      <w:pPr>
        <w:ind w:right="420" w:firstLine="709"/>
        <w:spacing w:after="0" w:line="261" w:lineRule="auto"/>
        <w:rPr>
          <w:sz w:val="20"/>
          <w:szCs w:val="20"/>
          <w:color w:val="auto"/>
        </w:rPr>
      </w:pPr>
      <w:r>
        <w:rPr>
          <w:rFonts w:ascii="Arial" w:cs="Arial" w:eastAsia="Arial" w:hAnsi="Arial"/>
          <w:sz w:val="20"/>
          <w:szCs w:val="20"/>
          <w:color w:val="auto"/>
        </w:rPr>
        <w:t>Gains and losses on the sale of property, plant and equipment are included in Other (expense) income, net. Fully depreciated assets are retained in property, plant and equipment and accumulated depreciation until they are removed from service.</w:t>
      </w:r>
    </w:p>
    <w:p>
      <w:pPr>
        <w:spacing w:after="0" w:line="116" w:lineRule="exact"/>
        <w:rPr>
          <w:sz w:val="20"/>
          <w:szCs w:val="20"/>
          <w:color w:val="auto"/>
        </w:rPr>
      </w:pPr>
    </w:p>
    <w:p>
      <w:pPr>
        <w:ind w:right="100" w:firstLine="709"/>
        <w:spacing w:after="0" w:line="274" w:lineRule="auto"/>
        <w:rPr>
          <w:sz w:val="20"/>
          <w:szCs w:val="20"/>
          <w:color w:val="auto"/>
        </w:rPr>
      </w:pPr>
      <w:r>
        <w:rPr>
          <w:rFonts w:ascii="Arial" w:cs="Arial" w:eastAsia="Arial" w:hAnsi="Arial"/>
          <w:sz w:val="19"/>
          <w:szCs w:val="19"/>
          <w:color w:val="auto"/>
        </w:rPr>
        <w:t>The Company tests asset groups for impairment whenever events or changes in circumstances indicate that the carrying value may not be recoverable. An impairment in the carrying value of long-lived assets is recognized if the expected future undiscounted cash flows derived from the assets, or group of assets, are less than their carrying value. The Company did not record any impairment charges related to long-lived assets in the periods presented.</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167" w:lineRule="exact"/>
        <w:rPr>
          <w:sz w:val="20"/>
          <w:szCs w:val="20"/>
          <w:color w:val="auto"/>
        </w:rPr>
      </w:pPr>
    </w:p>
    <w:p>
      <w:pPr>
        <w:ind w:right="100" w:firstLine="758"/>
        <w:spacing w:after="0" w:line="340" w:lineRule="auto"/>
        <w:rPr>
          <w:sz w:val="20"/>
          <w:szCs w:val="20"/>
          <w:color w:val="auto"/>
        </w:rPr>
      </w:pPr>
      <w:r>
        <w:rPr>
          <w:rFonts w:ascii="Arial" w:cs="Arial" w:eastAsia="Arial" w:hAnsi="Arial"/>
          <w:sz w:val="16"/>
          <w:szCs w:val="16"/>
          <w:color w:val="auto"/>
        </w:rPr>
        <w:t>In accordance with the acquisition method of accounting, the purchase price paid for an acquisition is allocated to the assets and liabilities acquired based upon their estimated fair values as of the acquisition date, with the excess of the purchase price over the net assets acquired recorded as goodwill. As required, a preliminary fair value is determined once a business is acquired, with the final determination of the fair value being completed no later than one year from the date of acquisition.</w:t>
      </w:r>
    </w:p>
    <w:p>
      <w:pPr>
        <w:spacing w:after="0" w:line="57"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Goodwill</w:t>
      </w:r>
    </w:p>
    <w:p>
      <w:pPr>
        <w:spacing w:after="0" w:line="167" w:lineRule="exact"/>
        <w:rPr>
          <w:sz w:val="20"/>
          <w:szCs w:val="20"/>
          <w:color w:val="auto"/>
        </w:rPr>
      </w:pPr>
    </w:p>
    <w:p>
      <w:pPr>
        <w:ind w:right="40" w:firstLine="709"/>
        <w:spacing w:after="0" w:line="289" w:lineRule="auto"/>
        <w:rPr>
          <w:sz w:val="20"/>
          <w:szCs w:val="20"/>
          <w:color w:val="auto"/>
        </w:rPr>
      </w:pPr>
      <w:r>
        <w:rPr>
          <w:rFonts w:ascii="Arial" w:cs="Arial" w:eastAsia="Arial" w:hAnsi="Arial"/>
          <w:sz w:val="18"/>
          <w:szCs w:val="18"/>
          <w:color w:val="auto"/>
        </w:rPr>
        <w:t>Goodwill is comprised of the purchase price of business acquisitions in excess of the fair value of the net assets acquired. Goodwill is reviewed for impairment annually as of December 31 or when events or changes in the business 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93" w:lineRule="exact"/>
        <w:rPr>
          <w:sz w:val="20"/>
          <w:szCs w:val="20"/>
          <w:color w:val="auto"/>
        </w:rPr>
      </w:pPr>
    </w:p>
    <w:p>
      <w:pPr>
        <w:ind w:right="100" w:firstLine="709"/>
        <w:spacing w:after="0" w:line="274" w:lineRule="auto"/>
        <w:rPr>
          <w:sz w:val="20"/>
          <w:szCs w:val="20"/>
          <w:color w:val="auto"/>
        </w:rPr>
      </w:pPr>
      <w:r>
        <w:rPr>
          <w:rFonts w:ascii="Arial" w:cs="Arial" w:eastAsia="Arial" w:hAnsi="Arial"/>
          <w:sz w:val="19"/>
          <w:szCs w:val="19"/>
          <w:color w:val="auto"/>
        </w:rPr>
        <w:t>The Company determines its reporting units by identifying the components of each operating segment. As of December 31, 2024, the Company had four reporting units consisting of, Environmental Sales and Service, Industrial Services, Environmental Facilities and Safety-Kleen Sustainability Solutions ("SKSS"). See Note 8, "Goodwill and Other Intangible Assets," for additional information related to the Company's goodwill impairment tests.</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Permits and Other Intangibles</w:t>
      </w:r>
    </w:p>
    <w:p>
      <w:pPr>
        <w:spacing w:after="0" w:line="167" w:lineRule="exact"/>
        <w:rPr>
          <w:sz w:val="20"/>
          <w:szCs w:val="20"/>
          <w:color w:val="auto"/>
        </w:rPr>
      </w:pPr>
    </w:p>
    <w:p>
      <w:pPr>
        <w:ind w:right="40" w:firstLine="709"/>
        <w:spacing w:after="0" w:line="261" w:lineRule="auto"/>
        <w:rPr>
          <w:sz w:val="20"/>
          <w:szCs w:val="20"/>
          <w:color w:val="auto"/>
        </w:rPr>
      </w:pPr>
      <w:r>
        <w:rPr>
          <w:rFonts w:ascii="Arial" w:cs="Arial" w:eastAsia="Arial" w:hAnsi="Arial"/>
          <w:sz w:val="20"/>
          <w:szCs w:val="20"/>
          <w:color w:val="auto"/>
        </w:rPr>
        <w:t>Costs related to acquiring licenses, permits and intangible assets, such as legal fees, site surveys, engineering costs and other expenditures are capitalized. Other intangible assets consist primarily of customer and supplier relationships, trademarks and trade names and developed technology.</w:t>
      </w:r>
    </w:p>
    <w:p>
      <w:pPr>
        <w:spacing w:after="0" w:line="116" w:lineRule="exact"/>
        <w:rPr>
          <w:sz w:val="20"/>
          <w:szCs w:val="20"/>
          <w:color w:val="auto"/>
        </w:rPr>
      </w:pPr>
    </w:p>
    <w:p>
      <w:pPr>
        <w:ind w:right="20" w:firstLine="709"/>
        <w:spacing w:after="0" w:line="261" w:lineRule="auto"/>
        <w:rPr>
          <w:sz w:val="20"/>
          <w:szCs w:val="20"/>
          <w:color w:val="auto"/>
        </w:rPr>
      </w:pPr>
      <w:r>
        <w:rPr>
          <w:rFonts w:ascii="Arial" w:cs="Arial" w:eastAsia="Arial" w:hAnsi="Arial"/>
          <w:sz w:val="20"/>
          <w:szCs w:val="20"/>
          <w:color w:val="auto"/>
        </w:rPr>
        <w:t>Permits relating to landfills are amortized on a units-of-consumption basis. All other permits are amortized over periods ranging from five to 30 years on a straight-line basis. Finite-lived other intangible assets are amortized on a straight-line basis over their respective useful lives, which range from two to 25 years.</w:t>
      </w:r>
    </w:p>
    <w:p>
      <w:pPr>
        <w:spacing w:after="0" w:line="116" w:lineRule="exact"/>
        <w:rPr>
          <w:sz w:val="20"/>
          <w:szCs w:val="20"/>
          <w:color w:val="auto"/>
        </w:rPr>
      </w:pPr>
    </w:p>
    <w:p>
      <w:pPr>
        <w:ind w:right="260" w:firstLine="709"/>
        <w:spacing w:after="0" w:line="340" w:lineRule="auto"/>
        <w:rPr>
          <w:sz w:val="20"/>
          <w:szCs w:val="20"/>
          <w:color w:val="auto"/>
        </w:rPr>
      </w:pPr>
      <w:r>
        <w:rPr>
          <w:rFonts w:ascii="Arial" w:cs="Arial" w:eastAsia="Arial" w:hAnsi="Arial"/>
          <w:sz w:val="16"/>
          <w:szCs w:val="16"/>
          <w:color w:val="auto"/>
        </w:rPr>
        <w:t>All finite-lived intangible assets are reviewed for impairment whenever events or changes in circumstances indicate that the carrying value may not be recoverable. When such factors and circumstances exist, management compares the projected undiscounted future cash flows associated with the related asset or group of assets to the carrying amount. The impairment loss, if any, is measured as the excess of the carrying amount over the fair value of the asset or group of assets.</w:t>
      </w:r>
    </w:p>
    <w:p>
      <w:pPr>
        <w:sectPr>
          <w:pgSz w:w="11880" w:h="15480" w:orient="portrait"/>
          <w:cols w:equalWidth="0" w:num="1">
            <w:col w:w="10100"/>
          </w:cols>
          <w:pgMar w:left="880" w:top="3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880" w:h="15480" w:orient="portrait"/>
          <w:cols w:equalWidth="0" w:num="1">
            <w:col w:w="10100"/>
          </w:cols>
          <w:pgMar w:left="880" w:top="338" w:right="900" w:bottom="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jc w:val="both"/>
        <w:ind w:right="240" w:firstLine="709"/>
        <w:spacing w:after="0" w:line="256" w:lineRule="auto"/>
        <w:rPr>
          <w:sz w:val="20"/>
          <w:szCs w:val="20"/>
          <w:color w:val="auto"/>
        </w:rPr>
      </w:pPr>
      <w:r>
        <w:rPr>
          <w:rFonts w:ascii="Arial" w:cs="Arial" w:eastAsia="Arial" w:hAnsi="Arial"/>
          <w:sz w:val="20"/>
          <w:szCs w:val="20"/>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the impairment loss is measured as the excess of the carrying value of the asset over its fair value.</w:t>
      </w:r>
    </w:p>
    <w:p>
      <w:pPr>
        <w:spacing w:after="0" w:line="11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Landfill Accounting</w:t>
      </w:r>
    </w:p>
    <w:p>
      <w:pPr>
        <w:spacing w:after="0" w:line="167" w:lineRule="exact"/>
        <w:rPr>
          <w:sz w:val="20"/>
          <w:szCs w:val="20"/>
          <w:color w:val="auto"/>
        </w:rPr>
      </w:pPr>
    </w:p>
    <w:p>
      <w:pPr>
        <w:ind w:right="60" w:firstLine="709"/>
        <w:spacing w:after="0" w:line="280" w:lineRule="auto"/>
        <w:rPr>
          <w:sz w:val="20"/>
          <w:szCs w:val="20"/>
          <w:color w:val="auto"/>
        </w:rPr>
      </w:pPr>
      <w:r>
        <w:rPr>
          <w:rFonts w:ascii="Arial" w:cs="Arial" w:eastAsia="Arial" w:hAnsi="Arial"/>
          <w:sz w:val="18"/>
          <w:szCs w:val="18"/>
          <w:color w:val="auto"/>
        </w:rPr>
        <w:t>The Company amortizes landfill improvements and certain landfill-related permits over the estimated useful lives. The units-of-consumption method is used to amortize land, landfill cell construction, asset retirement costs and remaining landfill cells and sites. The Company also utilizes the units-of-consumption method to record closure and post-closure obligations for landfill cells and sites. Under the units-of-consumption method, the Company includes future estimated construction and asset retirement costs, as well as costs incurred to date, in the amortization base of the landfill assets. Additionally, where appropriate, as described below, the Company includes probable expansion airspace that has yet to be permitted in the calculation of the total remaining useful life of the landfill. If it is determined that expansion capacity should no longer be considered in calculating the recoverability of a landfill asset, the Company may be required to recognize an asset impairment or incur significantly higher amortization expense. If at any time the Company makes the decision to abandon the expansion effort, the capitalized costs related to the expansion effort are expensed immediately.</w:t>
      </w:r>
    </w:p>
    <w:p>
      <w:pPr>
        <w:spacing w:after="0" w:line="104" w:lineRule="exact"/>
        <w:rPr>
          <w:sz w:val="20"/>
          <w:szCs w:val="20"/>
          <w:color w:val="auto"/>
        </w:rPr>
      </w:pPr>
    </w:p>
    <w:p>
      <w:pPr>
        <w:ind w:right="40" w:firstLine="709"/>
        <w:spacing w:after="0" w:line="281" w:lineRule="auto"/>
        <w:rPr>
          <w:sz w:val="20"/>
          <w:szCs w:val="20"/>
          <w:color w:val="auto"/>
        </w:rPr>
      </w:pPr>
      <w:r>
        <w:rPr>
          <w:rFonts w:ascii="Arial" w:cs="Arial" w:eastAsia="Arial" w:hAnsi="Arial"/>
          <w:sz w:val="18"/>
          <w:szCs w:val="18"/>
          <w:b w:val="1"/>
          <w:bCs w:val="1"/>
          <w:i w:val="1"/>
          <w:iCs w:val="1"/>
          <w:color w:val="auto"/>
        </w:rPr>
        <w:t>Landfill assets</w:t>
      </w:r>
      <w:r>
        <w:rPr>
          <w:rFonts w:ascii="Arial" w:cs="Arial" w:eastAsia="Arial" w:hAnsi="Arial"/>
          <w:sz w:val="18"/>
          <w:szCs w:val="18"/>
          <w:color w:val="auto"/>
        </w:rPr>
        <w:t>—Landfill assets include the costs of landfill site acquisition, permits and cell construction incurred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These amounts are recorded at cost, which includes capitalized interest as applicable. Landfill assets, net of amortization, are combined with management's estimate of the costs required to complete construction of the landfill to determine the amount to be amortized over the remaining estimated useful economic life of a site. Amortization of landfill assets is recorded on a units-of-consumption basis, such that the landfill assets should be completely amortized at the date the landfill ceases accepting waste. Amortization totaled $10.6 million, $18.6 million and $16.2 million for the years ended December 31, 2024, 2023 and 2022, respectively. Changes in the determination of when the landfill will cease accepting waste, either through a business decision by the Company, determination that expansion capacity should no longer be considered probable or changes in estimates on annual airspace consumption, will impact the amortization expense of the landfill assets. Changes in estimated costs to complete construction are applied prospectively to the amortization rate.</w:t>
      </w:r>
    </w:p>
    <w:p>
      <w:pPr>
        <w:spacing w:after="0" w:line="98" w:lineRule="exact"/>
        <w:rPr>
          <w:sz w:val="20"/>
          <w:szCs w:val="20"/>
          <w:color w:val="auto"/>
        </w:rPr>
      </w:pPr>
    </w:p>
    <w:p>
      <w:pPr>
        <w:ind w:right="120" w:firstLine="709"/>
        <w:spacing w:after="0" w:line="253" w:lineRule="auto"/>
        <w:rPr>
          <w:sz w:val="20"/>
          <w:szCs w:val="20"/>
          <w:color w:val="auto"/>
        </w:rPr>
      </w:pPr>
      <w:r>
        <w:rPr>
          <w:rFonts w:ascii="Arial" w:cs="Arial" w:eastAsia="Arial" w:hAnsi="Arial"/>
          <w:sz w:val="20"/>
          <w:szCs w:val="20"/>
          <w:b w:val="1"/>
          <w:bCs w:val="1"/>
          <w:i w:val="1"/>
          <w:iCs w:val="1"/>
          <w:color w:val="auto"/>
        </w:rPr>
        <w:t>Landfill capacity</w:t>
      </w:r>
      <w:r>
        <w:rPr>
          <w:rFonts w:ascii="Arial" w:cs="Arial" w:eastAsia="Arial" w:hAnsi="Arial"/>
          <w:sz w:val="20"/>
          <w:szCs w:val="20"/>
          <w:color w:val="auto"/>
        </w:rPr>
        <w:t>—Landfill capacity, which is the basis for the amortization of landfill assets and for the accrual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final closure and post-closure obligations, represents total permitted airspace plus unpermitted airspace that management believes is highly probable of ultimately being permitted. As of December 31, 2024, there were no unpermitted expansions included in the Company's landfill accounting model. If actual expansion airspace is significantly different from management's estimate of expansion airspace, the amortization rates used for the units-of-consumption method would change, therefore impacting the Company's profitability.</w:t>
      </w:r>
    </w:p>
    <w:p>
      <w:pPr>
        <w:spacing w:after="0" w:line="124" w:lineRule="exact"/>
        <w:rPr>
          <w:sz w:val="20"/>
          <w:szCs w:val="20"/>
          <w:color w:val="auto"/>
        </w:rPr>
      </w:pPr>
    </w:p>
    <w:p>
      <w:pPr>
        <w:ind w:right="500" w:firstLine="709"/>
        <w:spacing w:after="0" w:line="261" w:lineRule="auto"/>
        <w:rPr>
          <w:sz w:val="20"/>
          <w:szCs w:val="20"/>
          <w:color w:val="auto"/>
        </w:rPr>
      </w:pPr>
      <w:r>
        <w:rPr>
          <w:rFonts w:ascii="Arial" w:cs="Arial" w:eastAsia="Arial" w:hAnsi="Arial"/>
          <w:sz w:val="20"/>
          <w:szCs w:val="20"/>
          <w:color w:val="auto"/>
        </w:rPr>
        <w:t>As of December 31, 2024, the Company had eight active landfill sites (including the Company's non-commercial landfill), which have estimated remaining lives (based on anticipated waste volumes and the remaining highly probable airspace)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6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0"/>
              </w:rPr>
              <w:t>Permitted Remaining Highly</w:t>
            </w:r>
          </w:p>
        </w:tc>
        <w:tc>
          <w:tcPr>
            <w:tcW w:w="0" w:type="dxa"/>
            <w:vAlign w:val="bottom"/>
          </w:tcPr>
          <w:p>
            <w:pPr>
              <w:spacing w:after="0"/>
              <w:rPr>
                <w:sz w:val="1"/>
                <w:szCs w:val="1"/>
                <w:color w:val="auto"/>
              </w:rPr>
            </w:pPr>
          </w:p>
        </w:tc>
      </w:tr>
      <w:tr>
        <w:trPr>
          <w:trHeight w:val="158"/>
        </w:trPr>
        <w:tc>
          <w:tcPr>
            <w:tcW w:w="27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Facility Name</w:t>
            </w:r>
          </w:p>
        </w:tc>
        <w:tc>
          <w:tcPr>
            <w:tcW w:w="80" w:type="dxa"/>
            <w:vAlign w:val="bottom"/>
          </w:tcPr>
          <w:p>
            <w:pPr>
              <w:spacing w:after="0"/>
              <w:rPr>
                <w:sz w:val="13"/>
                <w:szCs w:val="13"/>
                <w:color w:val="auto"/>
              </w:rPr>
            </w:pPr>
          </w:p>
        </w:tc>
        <w:tc>
          <w:tcPr>
            <w:tcW w:w="3840" w:type="dxa"/>
            <w:vAlign w:val="bottom"/>
            <w:vMerge w:val="restart"/>
          </w:tcPr>
          <w:p>
            <w:pPr>
              <w:ind w:left="1620"/>
              <w:spacing w:after="0"/>
              <w:rPr>
                <w:sz w:val="20"/>
                <w:szCs w:val="20"/>
                <w:color w:val="auto"/>
              </w:rPr>
            </w:pPr>
            <w:r>
              <w:rPr>
                <w:rFonts w:ascii="Arial" w:cs="Arial" w:eastAsia="Arial" w:hAnsi="Arial"/>
                <w:sz w:val="16"/>
                <w:szCs w:val="16"/>
                <w:b w:val="1"/>
                <w:bCs w:val="1"/>
                <w:color w:val="auto"/>
              </w:rPr>
              <w:t>Location</w:t>
            </w:r>
          </w:p>
        </w:tc>
        <w:tc>
          <w:tcPr>
            <w:tcW w:w="8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Lives</w:t>
            </w:r>
          </w:p>
        </w:tc>
        <w:tc>
          <w:tcPr>
            <w:tcW w:w="60" w:type="dxa"/>
            <w:vAlign w:val="bottom"/>
          </w:tcPr>
          <w:p>
            <w:pPr>
              <w:spacing w:after="0"/>
              <w:rPr>
                <w:sz w:val="13"/>
                <w:szCs w:val="13"/>
                <w:color w:val="auto"/>
              </w:rPr>
            </w:pPr>
          </w:p>
        </w:tc>
        <w:tc>
          <w:tcPr>
            <w:tcW w:w="21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Probable Airspace</w:t>
            </w:r>
          </w:p>
        </w:tc>
        <w:tc>
          <w:tcPr>
            <w:tcW w:w="0" w:type="dxa"/>
            <w:vAlign w:val="bottom"/>
          </w:tcPr>
          <w:p>
            <w:pPr>
              <w:spacing w:after="0"/>
              <w:rPr>
                <w:sz w:val="1"/>
                <w:szCs w:val="1"/>
                <w:color w:val="auto"/>
              </w:rPr>
            </w:pPr>
          </w:p>
        </w:tc>
      </w:tr>
      <w:tr>
        <w:trPr>
          <w:trHeight w:val="211"/>
        </w:trPr>
        <w:tc>
          <w:tcPr>
            <w:tcW w:w="2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3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60" w:type="dxa"/>
            <w:vAlign w:val="bottom"/>
            <w:tcBorders>
              <w:bottom w:val="single" w:sz="8" w:color="E6E6E6"/>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(cubic yards) (in thousands)</w:t>
            </w:r>
          </w:p>
        </w:tc>
        <w:tc>
          <w:tcPr>
            <w:tcW w:w="0" w:type="dxa"/>
            <w:vAlign w:val="bottom"/>
          </w:tcPr>
          <w:p>
            <w:pPr>
              <w:spacing w:after="0"/>
              <w:rPr>
                <w:sz w:val="1"/>
                <w:szCs w:val="1"/>
                <w:color w:val="auto"/>
              </w:rPr>
            </w:pPr>
          </w:p>
        </w:tc>
      </w:tr>
      <w:tr>
        <w:trPr>
          <w:trHeight w:val="271"/>
        </w:trPr>
        <w:tc>
          <w:tcPr>
            <w:tcW w:w="2780" w:type="dxa"/>
            <w:vAlign w:val="bottom"/>
            <w:shd w:val="clear" w:color="auto" w:fill="E6E6E6"/>
          </w:tcPr>
          <w:p>
            <w:pPr>
              <w:ind w:left="60"/>
              <w:spacing w:after="0"/>
              <w:rPr>
                <w:sz w:val="20"/>
                <w:szCs w:val="20"/>
                <w:color w:val="auto"/>
              </w:rPr>
            </w:pPr>
            <w:r>
              <w:rPr>
                <w:rFonts w:ascii="Arial" w:cs="Arial" w:eastAsia="Arial" w:hAnsi="Arial"/>
                <w:sz w:val="20"/>
                <w:szCs w:val="20"/>
                <w:color w:val="auto"/>
              </w:rPr>
              <w:t>Buttonwillow</w:t>
            </w:r>
          </w:p>
        </w:tc>
        <w:tc>
          <w:tcPr>
            <w:tcW w:w="80" w:type="dxa"/>
            <w:vAlign w:val="bottom"/>
            <w:shd w:val="clear" w:color="auto" w:fill="E6E6E6"/>
          </w:tcPr>
          <w:p>
            <w:pPr>
              <w:spacing w:after="0"/>
              <w:rPr>
                <w:sz w:val="23"/>
                <w:szCs w:val="23"/>
                <w:color w:val="auto"/>
              </w:rPr>
            </w:pPr>
          </w:p>
        </w:tc>
        <w:tc>
          <w:tcPr>
            <w:tcW w:w="3840" w:type="dxa"/>
            <w:vAlign w:val="bottom"/>
            <w:shd w:val="clear" w:color="auto" w:fill="E6E6E6"/>
          </w:tcPr>
          <w:p>
            <w:pPr>
              <w:ind w:left="60"/>
              <w:spacing w:after="0"/>
              <w:rPr>
                <w:sz w:val="20"/>
                <w:szCs w:val="20"/>
                <w:color w:val="auto"/>
              </w:rPr>
            </w:pPr>
            <w:r>
              <w:rPr>
                <w:rFonts w:ascii="Arial" w:cs="Arial" w:eastAsia="Arial" w:hAnsi="Arial"/>
                <w:sz w:val="20"/>
                <w:szCs w:val="20"/>
                <w:color w:val="auto"/>
              </w:rPr>
              <w:t>California</w:t>
            </w:r>
          </w:p>
        </w:tc>
        <w:tc>
          <w:tcPr>
            <w:tcW w:w="126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9"/>
              </w:rPr>
              <w:t>21</w:t>
            </w:r>
          </w:p>
        </w:tc>
        <w:tc>
          <w:tcPr>
            <w:tcW w:w="21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4,909</w:t>
            </w:r>
          </w:p>
        </w:tc>
        <w:tc>
          <w:tcPr>
            <w:tcW w:w="0" w:type="dxa"/>
            <w:vAlign w:val="bottom"/>
          </w:tcPr>
          <w:p>
            <w:pPr>
              <w:spacing w:after="0"/>
              <w:rPr>
                <w:sz w:val="1"/>
                <w:szCs w:val="1"/>
                <w:color w:val="auto"/>
              </w:rPr>
            </w:pPr>
          </w:p>
        </w:tc>
      </w:tr>
      <w:tr>
        <w:trPr>
          <w:trHeight w:val="275"/>
        </w:trPr>
        <w:tc>
          <w:tcPr>
            <w:tcW w:w="2780" w:type="dxa"/>
            <w:vAlign w:val="bottom"/>
          </w:tcPr>
          <w:p>
            <w:pPr>
              <w:ind w:left="60"/>
              <w:spacing w:after="0"/>
              <w:rPr>
                <w:sz w:val="20"/>
                <w:szCs w:val="20"/>
                <w:color w:val="auto"/>
              </w:rPr>
            </w:pPr>
            <w:r>
              <w:rPr>
                <w:rFonts w:ascii="Arial" w:cs="Arial" w:eastAsia="Arial" w:hAnsi="Arial"/>
                <w:sz w:val="20"/>
                <w:szCs w:val="20"/>
                <w:color w:val="auto"/>
              </w:rPr>
              <w:t>Deer Trail</w:t>
            </w:r>
          </w:p>
        </w:tc>
        <w:tc>
          <w:tcPr>
            <w:tcW w:w="80" w:type="dxa"/>
            <w:vAlign w:val="bottom"/>
          </w:tcPr>
          <w:p>
            <w:pPr>
              <w:spacing w:after="0"/>
              <w:rPr>
                <w:sz w:val="23"/>
                <w:szCs w:val="23"/>
                <w:color w:val="auto"/>
              </w:rPr>
            </w:pPr>
          </w:p>
        </w:tc>
        <w:tc>
          <w:tcPr>
            <w:tcW w:w="3840" w:type="dxa"/>
            <w:vAlign w:val="bottom"/>
          </w:tcPr>
          <w:p>
            <w:pPr>
              <w:ind w:left="60"/>
              <w:spacing w:after="0"/>
              <w:rPr>
                <w:sz w:val="20"/>
                <w:szCs w:val="20"/>
                <w:color w:val="auto"/>
              </w:rPr>
            </w:pPr>
            <w:r>
              <w:rPr>
                <w:rFonts w:ascii="Arial" w:cs="Arial" w:eastAsia="Arial" w:hAnsi="Arial"/>
                <w:sz w:val="20"/>
                <w:szCs w:val="20"/>
                <w:color w:val="auto"/>
              </w:rPr>
              <w:t>Colorado</w:t>
            </w:r>
          </w:p>
        </w:tc>
        <w:tc>
          <w:tcPr>
            <w:tcW w:w="1260" w:type="dxa"/>
            <w:vAlign w:val="bottom"/>
            <w:gridSpan w:val="2"/>
          </w:tcPr>
          <w:p>
            <w:pPr>
              <w:jc w:val="center"/>
              <w:spacing w:after="0"/>
              <w:rPr>
                <w:sz w:val="20"/>
                <w:szCs w:val="20"/>
                <w:color w:val="auto"/>
              </w:rPr>
            </w:pPr>
            <w:r>
              <w:rPr>
                <w:rFonts w:ascii="Arial" w:cs="Arial" w:eastAsia="Arial" w:hAnsi="Arial"/>
                <w:sz w:val="20"/>
                <w:szCs w:val="20"/>
                <w:color w:val="auto"/>
                <w:w w:val="89"/>
              </w:rPr>
              <w:t>17</w:t>
            </w:r>
          </w:p>
        </w:tc>
        <w:tc>
          <w:tcPr>
            <w:tcW w:w="2160" w:type="dxa"/>
            <w:vAlign w:val="bottom"/>
            <w:gridSpan w:val="2"/>
          </w:tcPr>
          <w:p>
            <w:pPr>
              <w:jc w:val="right"/>
              <w:spacing w:after="0"/>
              <w:rPr>
                <w:sz w:val="20"/>
                <w:szCs w:val="20"/>
                <w:color w:val="auto"/>
              </w:rPr>
            </w:pPr>
            <w:r>
              <w:rPr>
                <w:rFonts w:ascii="Arial" w:cs="Arial" w:eastAsia="Arial" w:hAnsi="Arial"/>
                <w:sz w:val="20"/>
                <w:szCs w:val="20"/>
                <w:color w:val="auto"/>
              </w:rPr>
              <w:t>1,347</w:t>
            </w:r>
          </w:p>
        </w:tc>
        <w:tc>
          <w:tcPr>
            <w:tcW w:w="0" w:type="dxa"/>
            <w:vAlign w:val="bottom"/>
          </w:tcPr>
          <w:p>
            <w:pPr>
              <w:spacing w:after="0"/>
              <w:rPr>
                <w:sz w:val="1"/>
                <w:szCs w:val="1"/>
                <w:color w:val="auto"/>
              </w:rPr>
            </w:pPr>
          </w:p>
        </w:tc>
      </w:tr>
      <w:tr>
        <w:trPr>
          <w:trHeight w:val="287"/>
        </w:trPr>
        <w:tc>
          <w:tcPr>
            <w:tcW w:w="2780" w:type="dxa"/>
            <w:vAlign w:val="bottom"/>
            <w:shd w:val="clear" w:color="auto" w:fill="E6E6E6"/>
          </w:tcPr>
          <w:p>
            <w:pPr>
              <w:ind w:left="60"/>
              <w:spacing w:after="0"/>
              <w:rPr>
                <w:sz w:val="20"/>
                <w:szCs w:val="20"/>
                <w:color w:val="auto"/>
              </w:rPr>
            </w:pPr>
            <w:r>
              <w:rPr>
                <w:rFonts w:ascii="Arial" w:cs="Arial" w:eastAsia="Arial" w:hAnsi="Arial"/>
                <w:sz w:val="20"/>
                <w:szCs w:val="20"/>
                <w:color w:val="auto"/>
              </w:rPr>
              <w:t>Grassy Mountain</w:t>
            </w:r>
          </w:p>
        </w:tc>
        <w:tc>
          <w:tcPr>
            <w:tcW w:w="80" w:type="dxa"/>
            <w:vAlign w:val="bottom"/>
            <w:shd w:val="clear" w:color="auto" w:fill="E6E6E6"/>
          </w:tcPr>
          <w:p>
            <w:pPr>
              <w:spacing w:after="0"/>
              <w:rPr>
                <w:sz w:val="24"/>
                <w:szCs w:val="24"/>
                <w:color w:val="auto"/>
              </w:rPr>
            </w:pPr>
          </w:p>
        </w:tc>
        <w:tc>
          <w:tcPr>
            <w:tcW w:w="3840" w:type="dxa"/>
            <w:vAlign w:val="bottom"/>
            <w:shd w:val="clear" w:color="auto" w:fill="E6E6E6"/>
          </w:tcPr>
          <w:p>
            <w:pPr>
              <w:ind w:left="60"/>
              <w:spacing w:after="0"/>
              <w:rPr>
                <w:sz w:val="20"/>
                <w:szCs w:val="20"/>
                <w:color w:val="auto"/>
              </w:rPr>
            </w:pPr>
            <w:r>
              <w:rPr>
                <w:rFonts w:ascii="Arial" w:cs="Arial" w:eastAsia="Arial" w:hAnsi="Arial"/>
                <w:sz w:val="20"/>
                <w:szCs w:val="20"/>
                <w:color w:val="auto"/>
              </w:rPr>
              <w:t>Utah</w:t>
            </w:r>
          </w:p>
        </w:tc>
        <w:tc>
          <w:tcPr>
            <w:tcW w:w="126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9"/>
              </w:rPr>
              <w:t>37</w:t>
            </w:r>
          </w:p>
        </w:tc>
        <w:tc>
          <w:tcPr>
            <w:tcW w:w="21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4,253</w:t>
            </w:r>
          </w:p>
        </w:tc>
        <w:tc>
          <w:tcPr>
            <w:tcW w:w="0" w:type="dxa"/>
            <w:vAlign w:val="bottom"/>
          </w:tcPr>
          <w:p>
            <w:pPr>
              <w:spacing w:after="0"/>
              <w:rPr>
                <w:sz w:val="1"/>
                <w:szCs w:val="1"/>
                <w:color w:val="auto"/>
              </w:rPr>
            </w:pPr>
          </w:p>
        </w:tc>
      </w:tr>
      <w:tr>
        <w:trPr>
          <w:trHeight w:val="275"/>
        </w:trPr>
        <w:tc>
          <w:tcPr>
            <w:tcW w:w="2780" w:type="dxa"/>
            <w:vAlign w:val="bottom"/>
          </w:tcPr>
          <w:p>
            <w:pPr>
              <w:ind w:left="60"/>
              <w:spacing w:after="0"/>
              <w:rPr>
                <w:sz w:val="20"/>
                <w:szCs w:val="20"/>
                <w:color w:val="auto"/>
              </w:rPr>
            </w:pPr>
            <w:r>
              <w:rPr>
                <w:rFonts w:ascii="Arial" w:cs="Arial" w:eastAsia="Arial" w:hAnsi="Arial"/>
                <w:sz w:val="20"/>
                <w:szCs w:val="20"/>
                <w:color w:val="auto"/>
              </w:rPr>
              <w:t>Kimball</w:t>
            </w:r>
          </w:p>
        </w:tc>
        <w:tc>
          <w:tcPr>
            <w:tcW w:w="80" w:type="dxa"/>
            <w:vAlign w:val="bottom"/>
          </w:tcPr>
          <w:p>
            <w:pPr>
              <w:spacing w:after="0"/>
              <w:rPr>
                <w:sz w:val="23"/>
                <w:szCs w:val="23"/>
                <w:color w:val="auto"/>
              </w:rPr>
            </w:pPr>
          </w:p>
        </w:tc>
        <w:tc>
          <w:tcPr>
            <w:tcW w:w="3840" w:type="dxa"/>
            <w:vAlign w:val="bottom"/>
          </w:tcPr>
          <w:p>
            <w:pPr>
              <w:ind w:left="60"/>
              <w:spacing w:after="0"/>
              <w:rPr>
                <w:sz w:val="20"/>
                <w:szCs w:val="20"/>
                <w:color w:val="auto"/>
              </w:rPr>
            </w:pPr>
            <w:r>
              <w:rPr>
                <w:rFonts w:ascii="Arial" w:cs="Arial" w:eastAsia="Arial" w:hAnsi="Arial"/>
                <w:sz w:val="20"/>
                <w:szCs w:val="20"/>
                <w:color w:val="auto"/>
              </w:rPr>
              <w:t>Nebraska</w:t>
            </w:r>
          </w:p>
        </w:tc>
        <w:tc>
          <w:tcPr>
            <w:tcW w:w="1260" w:type="dxa"/>
            <w:vAlign w:val="bottom"/>
            <w:gridSpan w:val="2"/>
          </w:tcPr>
          <w:p>
            <w:pPr>
              <w:jc w:val="center"/>
              <w:spacing w:after="0"/>
              <w:rPr>
                <w:sz w:val="20"/>
                <w:szCs w:val="20"/>
                <w:color w:val="auto"/>
              </w:rPr>
            </w:pPr>
            <w:r>
              <w:rPr>
                <w:rFonts w:ascii="Arial" w:cs="Arial" w:eastAsia="Arial" w:hAnsi="Arial"/>
                <w:sz w:val="20"/>
                <w:szCs w:val="20"/>
                <w:color w:val="auto"/>
                <w:w w:val="89"/>
              </w:rPr>
              <w:t>22</w:t>
            </w:r>
          </w:p>
        </w:tc>
        <w:tc>
          <w:tcPr>
            <w:tcW w:w="2160" w:type="dxa"/>
            <w:vAlign w:val="bottom"/>
            <w:gridSpan w:val="2"/>
          </w:tcPr>
          <w:p>
            <w:pPr>
              <w:jc w:val="right"/>
              <w:spacing w:after="0"/>
              <w:rPr>
                <w:sz w:val="20"/>
                <w:szCs w:val="20"/>
                <w:color w:val="auto"/>
              </w:rPr>
            </w:pPr>
            <w:r>
              <w:rPr>
                <w:rFonts w:ascii="Arial" w:cs="Arial" w:eastAsia="Arial" w:hAnsi="Arial"/>
                <w:sz w:val="20"/>
                <w:szCs w:val="20"/>
                <w:color w:val="auto"/>
              </w:rPr>
              <w:t>520</w:t>
            </w:r>
          </w:p>
        </w:tc>
        <w:tc>
          <w:tcPr>
            <w:tcW w:w="0" w:type="dxa"/>
            <w:vAlign w:val="bottom"/>
          </w:tcPr>
          <w:p>
            <w:pPr>
              <w:spacing w:after="0"/>
              <w:rPr>
                <w:sz w:val="1"/>
                <w:szCs w:val="1"/>
                <w:color w:val="auto"/>
              </w:rPr>
            </w:pPr>
          </w:p>
        </w:tc>
      </w:tr>
      <w:tr>
        <w:trPr>
          <w:trHeight w:val="287"/>
        </w:trPr>
        <w:tc>
          <w:tcPr>
            <w:tcW w:w="2780" w:type="dxa"/>
            <w:vAlign w:val="bottom"/>
            <w:shd w:val="clear" w:color="auto" w:fill="E6E6E6"/>
          </w:tcPr>
          <w:p>
            <w:pPr>
              <w:ind w:left="60"/>
              <w:spacing w:after="0"/>
              <w:rPr>
                <w:sz w:val="20"/>
                <w:szCs w:val="20"/>
                <w:color w:val="auto"/>
              </w:rPr>
            </w:pPr>
            <w:r>
              <w:rPr>
                <w:rFonts w:ascii="Arial" w:cs="Arial" w:eastAsia="Arial" w:hAnsi="Arial"/>
                <w:sz w:val="20"/>
                <w:szCs w:val="20"/>
                <w:color w:val="auto"/>
              </w:rPr>
              <w:t>Lambton</w:t>
            </w:r>
          </w:p>
        </w:tc>
        <w:tc>
          <w:tcPr>
            <w:tcW w:w="80" w:type="dxa"/>
            <w:vAlign w:val="bottom"/>
            <w:shd w:val="clear" w:color="auto" w:fill="E6E6E6"/>
          </w:tcPr>
          <w:p>
            <w:pPr>
              <w:spacing w:after="0"/>
              <w:rPr>
                <w:sz w:val="24"/>
                <w:szCs w:val="24"/>
                <w:color w:val="auto"/>
              </w:rPr>
            </w:pPr>
          </w:p>
        </w:tc>
        <w:tc>
          <w:tcPr>
            <w:tcW w:w="3840" w:type="dxa"/>
            <w:vAlign w:val="bottom"/>
            <w:shd w:val="clear" w:color="auto" w:fill="E6E6E6"/>
          </w:tcPr>
          <w:p>
            <w:pPr>
              <w:ind w:left="60"/>
              <w:spacing w:after="0"/>
              <w:rPr>
                <w:sz w:val="20"/>
                <w:szCs w:val="20"/>
                <w:color w:val="auto"/>
              </w:rPr>
            </w:pPr>
            <w:r>
              <w:rPr>
                <w:rFonts w:ascii="Arial" w:cs="Arial" w:eastAsia="Arial" w:hAnsi="Arial"/>
                <w:sz w:val="20"/>
                <w:szCs w:val="20"/>
                <w:color w:val="auto"/>
              </w:rPr>
              <w:t>Ontario, Canada</w:t>
            </w:r>
          </w:p>
        </w:tc>
        <w:tc>
          <w:tcPr>
            <w:tcW w:w="126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9"/>
              </w:rPr>
              <w:t>46</w:t>
            </w:r>
          </w:p>
        </w:tc>
        <w:tc>
          <w:tcPr>
            <w:tcW w:w="21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4,218</w:t>
            </w:r>
          </w:p>
        </w:tc>
        <w:tc>
          <w:tcPr>
            <w:tcW w:w="0" w:type="dxa"/>
            <w:vAlign w:val="bottom"/>
          </w:tcPr>
          <w:p>
            <w:pPr>
              <w:spacing w:after="0"/>
              <w:rPr>
                <w:sz w:val="1"/>
                <w:szCs w:val="1"/>
                <w:color w:val="auto"/>
              </w:rPr>
            </w:pPr>
          </w:p>
        </w:tc>
      </w:tr>
      <w:tr>
        <w:trPr>
          <w:trHeight w:val="275"/>
        </w:trPr>
        <w:tc>
          <w:tcPr>
            <w:tcW w:w="2780" w:type="dxa"/>
            <w:vAlign w:val="bottom"/>
          </w:tcPr>
          <w:p>
            <w:pPr>
              <w:ind w:left="60"/>
              <w:spacing w:after="0"/>
              <w:rPr>
                <w:sz w:val="20"/>
                <w:szCs w:val="20"/>
                <w:color w:val="auto"/>
              </w:rPr>
            </w:pPr>
            <w:r>
              <w:rPr>
                <w:rFonts w:ascii="Arial" w:cs="Arial" w:eastAsia="Arial" w:hAnsi="Arial"/>
                <w:sz w:val="20"/>
                <w:szCs w:val="20"/>
                <w:color w:val="auto"/>
              </w:rPr>
              <w:t>Lone Mountain</w:t>
            </w:r>
          </w:p>
        </w:tc>
        <w:tc>
          <w:tcPr>
            <w:tcW w:w="80" w:type="dxa"/>
            <w:vAlign w:val="bottom"/>
          </w:tcPr>
          <w:p>
            <w:pPr>
              <w:spacing w:after="0"/>
              <w:rPr>
                <w:sz w:val="23"/>
                <w:szCs w:val="23"/>
                <w:color w:val="auto"/>
              </w:rPr>
            </w:pPr>
          </w:p>
        </w:tc>
        <w:tc>
          <w:tcPr>
            <w:tcW w:w="3840" w:type="dxa"/>
            <w:vAlign w:val="bottom"/>
          </w:tcPr>
          <w:p>
            <w:pPr>
              <w:ind w:left="60"/>
              <w:spacing w:after="0"/>
              <w:rPr>
                <w:sz w:val="20"/>
                <w:szCs w:val="20"/>
                <w:color w:val="auto"/>
              </w:rPr>
            </w:pPr>
            <w:r>
              <w:rPr>
                <w:rFonts w:ascii="Arial" w:cs="Arial" w:eastAsia="Arial" w:hAnsi="Arial"/>
                <w:sz w:val="20"/>
                <w:szCs w:val="20"/>
                <w:color w:val="auto"/>
              </w:rPr>
              <w:t>Oklahoma</w:t>
            </w:r>
          </w:p>
        </w:tc>
        <w:tc>
          <w:tcPr>
            <w:tcW w:w="1260" w:type="dxa"/>
            <w:vAlign w:val="bottom"/>
            <w:gridSpan w:val="2"/>
          </w:tcPr>
          <w:p>
            <w:pPr>
              <w:jc w:val="center"/>
              <w:spacing w:after="0"/>
              <w:rPr>
                <w:sz w:val="20"/>
                <w:szCs w:val="20"/>
                <w:color w:val="auto"/>
              </w:rPr>
            </w:pPr>
            <w:r>
              <w:rPr>
                <w:rFonts w:ascii="Arial" w:cs="Arial" w:eastAsia="Arial" w:hAnsi="Arial"/>
                <w:sz w:val="20"/>
                <w:szCs w:val="20"/>
                <w:color w:val="auto"/>
                <w:w w:val="89"/>
              </w:rPr>
              <w:t>13</w:t>
            </w:r>
          </w:p>
        </w:tc>
        <w:tc>
          <w:tcPr>
            <w:tcW w:w="2160" w:type="dxa"/>
            <w:vAlign w:val="bottom"/>
            <w:gridSpan w:val="2"/>
          </w:tcPr>
          <w:p>
            <w:pPr>
              <w:jc w:val="right"/>
              <w:spacing w:after="0"/>
              <w:rPr>
                <w:sz w:val="20"/>
                <w:szCs w:val="20"/>
                <w:color w:val="auto"/>
              </w:rPr>
            </w:pPr>
            <w:r>
              <w:rPr>
                <w:rFonts w:ascii="Arial" w:cs="Arial" w:eastAsia="Arial" w:hAnsi="Arial"/>
                <w:sz w:val="20"/>
                <w:szCs w:val="20"/>
                <w:color w:val="auto"/>
              </w:rPr>
              <w:t>2,913</w:t>
            </w:r>
          </w:p>
        </w:tc>
        <w:tc>
          <w:tcPr>
            <w:tcW w:w="0" w:type="dxa"/>
            <w:vAlign w:val="bottom"/>
          </w:tcPr>
          <w:p>
            <w:pPr>
              <w:spacing w:after="0"/>
              <w:rPr>
                <w:sz w:val="1"/>
                <w:szCs w:val="1"/>
                <w:color w:val="auto"/>
              </w:rPr>
            </w:pPr>
          </w:p>
        </w:tc>
      </w:tr>
      <w:tr>
        <w:trPr>
          <w:trHeight w:val="287"/>
        </w:trPr>
        <w:tc>
          <w:tcPr>
            <w:tcW w:w="2780" w:type="dxa"/>
            <w:vAlign w:val="bottom"/>
            <w:shd w:val="clear" w:color="auto" w:fill="E6E6E6"/>
          </w:tcPr>
          <w:p>
            <w:pPr>
              <w:ind w:left="60"/>
              <w:spacing w:after="0"/>
              <w:rPr>
                <w:sz w:val="20"/>
                <w:szCs w:val="20"/>
                <w:color w:val="auto"/>
              </w:rPr>
            </w:pPr>
            <w:r>
              <w:rPr>
                <w:rFonts w:ascii="Arial" w:cs="Arial" w:eastAsia="Arial" w:hAnsi="Arial"/>
                <w:sz w:val="20"/>
                <w:szCs w:val="20"/>
                <w:color w:val="auto"/>
              </w:rPr>
              <w:t>Ryley</w:t>
            </w:r>
          </w:p>
        </w:tc>
        <w:tc>
          <w:tcPr>
            <w:tcW w:w="80" w:type="dxa"/>
            <w:vAlign w:val="bottom"/>
            <w:shd w:val="clear" w:color="auto" w:fill="E6E6E6"/>
          </w:tcPr>
          <w:p>
            <w:pPr>
              <w:spacing w:after="0"/>
              <w:rPr>
                <w:sz w:val="24"/>
                <w:szCs w:val="24"/>
                <w:color w:val="auto"/>
              </w:rPr>
            </w:pPr>
          </w:p>
        </w:tc>
        <w:tc>
          <w:tcPr>
            <w:tcW w:w="3840" w:type="dxa"/>
            <w:vAlign w:val="bottom"/>
            <w:shd w:val="clear" w:color="auto" w:fill="E6E6E6"/>
          </w:tcPr>
          <w:p>
            <w:pPr>
              <w:ind w:left="60"/>
              <w:spacing w:after="0"/>
              <w:rPr>
                <w:sz w:val="20"/>
                <w:szCs w:val="20"/>
                <w:color w:val="auto"/>
              </w:rPr>
            </w:pPr>
            <w:r>
              <w:rPr>
                <w:rFonts w:ascii="Arial" w:cs="Arial" w:eastAsia="Arial" w:hAnsi="Arial"/>
                <w:sz w:val="20"/>
                <w:szCs w:val="20"/>
                <w:color w:val="auto"/>
              </w:rPr>
              <w:t>Alberta, Canada</w:t>
            </w:r>
          </w:p>
        </w:tc>
        <w:tc>
          <w:tcPr>
            <w:tcW w:w="126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9"/>
              </w:rPr>
              <w:t>40</w:t>
            </w:r>
          </w:p>
        </w:tc>
        <w:tc>
          <w:tcPr>
            <w:tcW w:w="21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5,594</w:t>
            </w:r>
          </w:p>
        </w:tc>
        <w:tc>
          <w:tcPr>
            <w:tcW w:w="0" w:type="dxa"/>
            <w:vAlign w:val="bottom"/>
          </w:tcPr>
          <w:p>
            <w:pPr>
              <w:spacing w:after="0"/>
              <w:rPr>
                <w:sz w:val="1"/>
                <w:szCs w:val="1"/>
                <w:color w:val="auto"/>
              </w:rPr>
            </w:pPr>
          </w:p>
        </w:tc>
      </w:tr>
      <w:tr>
        <w:trPr>
          <w:trHeight w:val="271"/>
        </w:trPr>
        <w:tc>
          <w:tcPr>
            <w:tcW w:w="278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Sawyer</w:t>
            </w:r>
          </w:p>
        </w:tc>
        <w:tc>
          <w:tcPr>
            <w:tcW w:w="80" w:type="dxa"/>
            <w:vAlign w:val="bottom"/>
            <w:tcBorders>
              <w:bottom w:val="single" w:sz="8" w:color="E6E6E6"/>
            </w:tcBorders>
          </w:tcPr>
          <w:p>
            <w:pPr>
              <w:spacing w:after="0"/>
              <w:rPr>
                <w:sz w:val="23"/>
                <w:szCs w:val="23"/>
                <w:color w:val="auto"/>
              </w:rPr>
            </w:pPr>
          </w:p>
        </w:tc>
        <w:tc>
          <w:tcPr>
            <w:tcW w:w="384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North Dakota</w:t>
            </w:r>
          </w:p>
        </w:tc>
        <w:tc>
          <w:tcPr>
            <w:tcW w:w="1260" w:type="dxa"/>
            <w:vAlign w:val="bottom"/>
            <w:tcBorders>
              <w:bottom w:val="single" w:sz="8" w:color="E6E6E6"/>
            </w:tcBorders>
            <w:gridSpan w:val="2"/>
          </w:tcPr>
          <w:p>
            <w:pPr>
              <w:jc w:val="center"/>
              <w:spacing w:after="0"/>
              <w:rPr>
                <w:sz w:val="20"/>
                <w:szCs w:val="20"/>
                <w:color w:val="auto"/>
              </w:rPr>
            </w:pPr>
            <w:r>
              <w:rPr>
                <w:rFonts w:ascii="Arial" w:cs="Arial" w:eastAsia="Arial" w:hAnsi="Arial"/>
                <w:sz w:val="20"/>
                <w:szCs w:val="20"/>
                <w:color w:val="auto"/>
                <w:w w:val="89"/>
              </w:rPr>
              <w:t>61</w:t>
            </w:r>
          </w:p>
        </w:tc>
        <w:tc>
          <w:tcPr>
            <w:tcW w:w="60" w:type="dxa"/>
            <w:vAlign w:val="bottom"/>
            <w:tcBorders>
              <w:bottom w:val="single" w:sz="8" w:color="E6E6E6"/>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3,197</w:t>
            </w:r>
          </w:p>
        </w:tc>
        <w:tc>
          <w:tcPr>
            <w:tcW w:w="0" w:type="dxa"/>
            <w:vAlign w:val="bottom"/>
          </w:tcPr>
          <w:p>
            <w:pPr>
              <w:spacing w:after="0"/>
              <w:rPr>
                <w:sz w:val="1"/>
                <w:szCs w:val="1"/>
                <w:color w:val="auto"/>
              </w:rPr>
            </w:pPr>
          </w:p>
        </w:tc>
      </w:tr>
      <w:tr>
        <w:trPr>
          <w:trHeight w:val="280"/>
        </w:trPr>
        <w:tc>
          <w:tcPr>
            <w:tcW w:w="27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38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1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26,951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-43180</wp:posOffset>
            </wp:positionV>
            <wp:extent cx="1348105" cy="50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48105" cy="50165"/>
                    </a:xfrm>
                    <a:prstGeom prst="rect">
                      <a:avLst/>
                    </a:prstGeom>
                    <a:noFill/>
                  </pic:spPr>
                </pic:pic>
              </a:graphicData>
            </a:graphic>
          </wp:anchor>
        </w:drawing>
      </w:r>
    </w:p>
    <w:p>
      <w:pPr>
        <w:spacing w:after="0" w:line="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December 31, 2024 and 2023, the Company had no cubic yards of permitted, but not highly probable, airspace.</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880" w:h="15480" w:orient="portrait"/>
          <w:cols w:equalWidth="0" w:num="1">
            <w:col w:w="10120"/>
          </w:cols>
          <w:pgMar w:left="880" w:top="338" w:right="880" w:bottom="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40" w:firstLine="709"/>
        <w:spacing w:after="0" w:line="276" w:lineRule="auto"/>
        <w:rPr>
          <w:sz w:val="20"/>
          <w:szCs w:val="20"/>
          <w:color w:val="auto"/>
        </w:rPr>
      </w:pPr>
      <w:r>
        <w:rPr>
          <w:rFonts w:ascii="Arial" w:cs="Arial" w:eastAsia="Arial" w:hAnsi="Arial"/>
          <w:sz w:val="20"/>
          <w:szCs w:val="20"/>
          <w:color w:val="auto"/>
        </w:rPr>
        <w:t>The following table presents the remaining highly probable airspace from January 1, 2023 through December 31, 2024 (in thousands of cubic yards):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Borders>
              <w:bottom w:val="single" w:sz="8" w:color="E6E6E6"/>
            </w:tcBorders>
          </w:tcPr>
          <w:p>
            <w:pPr>
              <w:spacing w:after="0"/>
              <w:rPr>
                <w:sz w:val="18"/>
                <w:szCs w:val="18"/>
                <w:color w:val="auto"/>
              </w:rPr>
            </w:pPr>
          </w:p>
        </w:tc>
        <w:tc>
          <w:tcPr>
            <w:tcW w:w="118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18"/>
                <w:szCs w:val="18"/>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r>
      <w:tr>
        <w:trPr>
          <w:trHeight w:val="271"/>
        </w:trPr>
        <w:tc>
          <w:tcPr>
            <w:tcW w:w="7680" w:type="dxa"/>
            <w:vAlign w:val="bottom"/>
            <w:shd w:val="clear" w:color="auto" w:fill="E6E6E6"/>
          </w:tcPr>
          <w:p>
            <w:pPr>
              <w:ind w:left="60"/>
              <w:spacing w:after="0"/>
              <w:rPr>
                <w:sz w:val="20"/>
                <w:szCs w:val="20"/>
                <w:color w:val="auto"/>
              </w:rPr>
            </w:pPr>
            <w:r>
              <w:rPr>
                <w:rFonts w:ascii="Arial" w:cs="Arial" w:eastAsia="Arial" w:hAnsi="Arial"/>
                <w:sz w:val="20"/>
                <w:szCs w:val="20"/>
                <w:color w:val="auto"/>
              </w:rPr>
              <w:t>Remaining capacity, beginning of year</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27,753</w:t>
            </w:r>
          </w:p>
        </w:tc>
        <w:tc>
          <w:tcPr>
            <w:tcW w:w="1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28,270</w:t>
            </w:r>
          </w:p>
        </w:tc>
      </w:tr>
      <w:tr>
        <w:trPr>
          <w:trHeight w:val="275"/>
        </w:trPr>
        <w:tc>
          <w:tcPr>
            <w:tcW w:w="7680" w:type="dxa"/>
            <w:vAlign w:val="bottom"/>
          </w:tcPr>
          <w:p>
            <w:pPr>
              <w:ind w:left="60"/>
              <w:spacing w:after="0"/>
              <w:rPr>
                <w:sz w:val="20"/>
                <w:szCs w:val="20"/>
                <w:color w:val="auto"/>
              </w:rPr>
            </w:pPr>
            <w:r>
              <w:rPr>
                <w:rFonts w:ascii="Arial" w:cs="Arial" w:eastAsia="Arial" w:hAnsi="Arial"/>
                <w:sz w:val="20"/>
                <w:szCs w:val="20"/>
                <w:color w:val="auto"/>
              </w:rPr>
              <w:t>Changes in highly probable airspace, net</w:t>
            </w: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464</w:t>
            </w:r>
          </w:p>
        </w:tc>
      </w:tr>
      <w:tr>
        <w:trPr>
          <w:trHeight w:val="296"/>
        </w:trPr>
        <w:tc>
          <w:tcPr>
            <w:tcW w:w="7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Consumed</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(802)</w:t>
            </w:r>
          </w:p>
        </w:tc>
        <w:tc>
          <w:tcPr>
            <w:tcW w:w="80" w:type="dxa"/>
            <w:vAlign w:val="bottom"/>
            <w:tcBorders>
              <w:bottom w:val="single" w:sz="8" w:color="E6E6E6"/>
            </w:tcBorders>
            <w:shd w:val="clear" w:color="auto" w:fill="E6E6E6"/>
          </w:tcPr>
          <w:p>
            <w:pPr>
              <w:spacing w:after="0"/>
              <w:rPr>
                <w:sz w:val="24"/>
                <w:szCs w:val="24"/>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(981)</w:t>
            </w:r>
          </w:p>
        </w:tc>
      </w:tr>
      <w:tr>
        <w:trPr>
          <w:trHeight w:val="222"/>
        </w:trPr>
        <w:tc>
          <w:tcPr>
            <w:tcW w:w="7680" w:type="dxa"/>
            <w:vAlign w:val="bottom"/>
          </w:tcPr>
          <w:p>
            <w:pPr>
              <w:ind w:left="60"/>
              <w:spacing w:after="0" w:line="222" w:lineRule="exact"/>
              <w:rPr>
                <w:sz w:val="20"/>
                <w:szCs w:val="20"/>
                <w:color w:val="auto"/>
              </w:rPr>
            </w:pPr>
            <w:r>
              <w:rPr>
                <w:rFonts w:ascii="Arial" w:cs="Arial" w:eastAsia="Arial" w:hAnsi="Arial"/>
                <w:sz w:val="20"/>
                <w:szCs w:val="20"/>
                <w:color w:val="auto"/>
              </w:rPr>
              <w:t>Remaining capacity, end of year</w:t>
            </w:r>
          </w:p>
        </w:tc>
        <w:tc>
          <w:tcPr>
            <w:tcW w:w="1180" w:type="dxa"/>
            <w:vAlign w:val="bottom"/>
          </w:tcPr>
          <w:p>
            <w:pPr>
              <w:jc w:val="right"/>
              <w:spacing w:after="0" w:line="222" w:lineRule="exact"/>
              <w:rPr>
                <w:sz w:val="20"/>
                <w:szCs w:val="20"/>
                <w:color w:val="auto"/>
              </w:rPr>
            </w:pPr>
            <w:r>
              <w:rPr>
                <w:rFonts w:ascii="Arial" w:cs="Arial" w:eastAsia="Arial" w:hAnsi="Arial"/>
                <w:sz w:val="20"/>
                <w:szCs w:val="20"/>
                <w:color w:val="auto"/>
              </w:rPr>
              <w:t>26,951</w:t>
            </w:r>
          </w:p>
        </w:tc>
        <w:tc>
          <w:tcPr>
            <w:tcW w:w="12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27,753</w:t>
            </w:r>
          </w:p>
        </w:tc>
      </w:tr>
      <w:tr>
        <w:trPr>
          <w:trHeight w:val="20"/>
        </w:trPr>
        <w:tc>
          <w:tcPr>
            <w:tcW w:w="7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-43180</wp:posOffset>
            </wp:positionV>
            <wp:extent cx="1573530"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73530" cy="50165"/>
                    </a:xfrm>
                    <a:prstGeom prst="rect">
                      <a:avLst/>
                    </a:prstGeom>
                    <a:noFill/>
                  </pic:spPr>
                </pic:pic>
              </a:graphicData>
            </a:graphic>
          </wp:anchor>
        </w:drawing>
      </w:r>
    </w:p>
    <w:p>
      <w:pPr>
        <w:spacing w:after="0" w:line="14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year ended December 31, 2023 the Company received a permit for expansion of its Kimball, Nebraska landfill.</w:t>
      </w:r>
    </w:p>
    <w:p>
      <w:pPr>
        <w:spacing w:after="0" w:line="184" w:lineRule="exact"/>
        <w:rPr>
          <w:sz w:val="20"/>
          <w:szCs w:val="20"/>
          <w:color w:val="auto"/>
        </w:rPr>
      </w:pPr>
    </w:p>
    <w:p>
      <w:pPr>
        <w:ind w:right="60" w:firstLine="709"/>
        <w:spacing w:after="0" w:line="283" w:lineRule="auto"/>
        <w:rPr>
          <w:sz w:val="20"/>
          <w:szCs w:val="20"/>
          <w:color w:val="auto"/>
        </w:rPr>
      </w:pPr>
      <w:r>
        <w:rPr>
          <w:rFonts w:ascii="Arial" w:cs="Arial" w:eastAsia="Arial" w:hAnsi="Arial"/>
          <w:sz w:val="18"/>
          <w:szCs w:val="18"/>
          <w:b w:val="1"/>
          <w:bCs w:val="1"/>
          <w:i w:val="1"/>
          <w:iCs w:val="1"/>
          <w:color w:val="auto"/>
        </w:rPr>
        <w:t>Amortization of cell construction costs and accrual of cell closure obligations</w:t>
      </w:r>
      <w:r>
        <w:rPr>
          <w:rFonts w:ascii="Arial" w:cs="Arial" w:eastAsia="Arial" w:hAnsi="Arial"/>
          <w:sz w:val="18"/>
          <w:szCs w:val="18"/>
          <w:color w:val="auto"/>
        </w:rPr>
        <w:t>—Landfills are typically comprised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cells, which are constructed within a defined acreage (or footprint). The cells are typically discrete units, which require both separate construction and separate capping and closure procedures. Cell construction costs are the costs required to excavate and construct the landfill cell. These costs are typically amortized on a units-of-consumption basis, such that they are completely amortized when the specific cell ceases accepting waste. In some instances, the Company has landfills that are engineered and constructed as "progressive trenches." In progressive trench landfills, a number of contiguous cells form a progressive trench. In those instances, the Company amortizes cell construction costs over the airspace within the entire trench, such that the cell construction costs will be fully amortized at the end of the trench useful life.</w:t>
      </w:r>
    </w:p>
    <w:p>
      <w:pPr>
        <w:spacing w:after="0" w:line="99" w:lineRule="exact"/>
        <w:rPr>
          <w:sz w:val="20"/>
          <w:szCs w:val="20"/>
          <w:color w:val="auto"/>
        </w:rPr>
      </w:pPr>
    </w:p>
    <w:p>
      <w:pPr>
        <w:ind w:right="100" w:firstLine="709"/>
        <w:spacing w:after="0" w:line="252" w:lineRule="auto"/>
        <w:rPr>
          <w:sz w:val="20"/>
          <w:szCs w:val="20"/>
          <w:color w:val="auto"/>
        </w:rPr>
      </w:pPr>
      <w:r>
        <w:rPr>
          <w:rFonts w:ascii="Arial" w:cs="Arial" w:eastAsia="Arial" w:hAnsi="Arial"/>
          <w:sz w:val="20"/>
          <w:szCs w:val="20"/>
          <w:color w:val="auto"/>
        </w:rPr>
        <w:t>The design and construction of a landfill does not create a landfill asset retirement obligation. Rather, the asset retirement obligation for cell closure (the cost associated with capping each cell) is incurred in relatively small increments as waste is placed in the landfill. Therefore, the cost required to construct the cell cap is capitalized as an asset retirement cost and a liability of an equal amount is established, based on the discounted cash flow associated with each capping event, as airspace is consumed. Spending for cell capping is reflected as environmental expenditures within operating activities in the consolidated statements of cash flows.</w:t>
      </w:r>
    </w:p>
    <w:p>
      <w:pPr>
        <w:spacing w:after="0" w:line="124" w:lineRule="exact"/>
        <w:rPr>
          <w:sz w:val="20"/>
          <w:szCs w:val="20"/>
          <w:color w:val="auto"/>
        </w:rPr>
      </w:pPr>
    </w:p>
    <w:p>
      <w:pPr>
        <w:ind w:right="40" w:firstLine="709"/>
        <w:spacing w:after="0" w:line="266" w:lineRule="auto"/>
        <w:rPr>
          <w:sz w:val="20"/>
          <w:szCs w:val="20"/>
          <w:color w:val="auto"/>
        </w:rPr>
      </w:pPr>
      <w:r>
        <w:rPr>
          <w:rFonts w:ascii="Arial" w:cs="Arial" w:eastAsia="Arial" w:hAnsi="Arial"/>
          <w:sz w:val="19"/>
          <w:szCs w:val="19"/>
          <w:b w:val="1"/>
          <w:bCs w:val="1"/>
          <w:i w:val="1"/>
          <w:iCs w:val="1"/>
          <w:color w:val="auto"/>
        </w:rPr>
        <w:t xml:space="preserve">Landfill final closure and post-closure liabilities </w:t>
      </w:r>
      <w:r>
        <w:rPr>
          <w:rFonts w:ascii="Arial" w:cs="Arial" w:eastAsia="Arial" w:hAnsi="Arial"/>
          <w:sz w:val="19"/>
          <w:szCs w:val="19"/>
          <w:color w:val="auto"/>
        </w:rPr>
        <w:t>—The balance of landfill final closure and post-closure liabilities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$59.4 million at both December 31, 2024 and 2023 respectively. The Company has material financial commitments for the costs associated with requirements of the Environmental Protection Agency ("EPA") and the comparable regulatory agency in Canada for landfill final closure and post-closure activities. The Company develops estimates for the cost of these activities based on an evaluation of site-specific facts and circumstances, including the Company's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w:t>
      </w:r>
    </w:p>
    <w:p>
      <w:pPr>
        <w:spacing w:after="0" w:line="115" w:lineRule="exact"/>
        <w:rPr>
          <w:sz w:val="20"/>
          <w:szCs w:val="20"/>
          <w:color w:val="auto"/>
        </w:rPr>
      </w:pPr>
    </w:p>
    <w:p>
      <w:pPr>
        <w:ind w:right="240" w:firstLine="709"/>
        <w:spacing w:after="0" w:line="322" w:lineRule="auto"/>
        <w:rPr>
          <w:sz w:val="20"/>
          <w:szCs w:val="20"/>
          <w:color w:val="auto"/>
        </w:rPr>
      </w:pPr>
      <w:r>
        <w:rPr>
          <w:rFonts w:ascii="Arial" w:cs="Arial" w:eastAsia="Arial" w:hAnsi="Arial"/>
          <w:sz w:val="16"/>
          <w:szCs w:val="16"/>
          <w:color w:val="auto"/>
        </w:rPr>
        <w:t>Final closure costs are the costs incurred after the site ceases to accept waste, but before the landfill is certified as closed by the applicable state regulatory agency. These costs generally include the costs required to cap the final cell of the landfill (if not included in cell closure), the costs required to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w:t>
      </w:r>
    </w:p>
    <w:p>
      <w:pPr>
        <w:spacing w:after="0" w:line="74" w:lineRule="exact"/>
        <w:rPr>
          <w:sz w:val="20"/>
          <w:szCs w:val="20"/>
          <w:color w:val="auto"/>
        </w:rPr>
      </w:pPr>
    </w:p>
    <w:p>
      <w:pPr>
        <w:ind w:right="100" w:firstLine="709"/>
        <w:spacing w:after="0" w:line="281" w:lineRule="auto"/>
        <w:rPr>
          <w:sz w:val="20"/>
          <w:szCs w:val="20"/>
          <w:color w:val="auto"/>
        </w:rPr>
      </w:pPr>
      <w:r>
        <w:rPr>
          <w:rFonts w:ascii="Arial" w:cs="Arial" w:eastAsia="Arial" w:hAnsi="Arial"/>
          <w:sz w:val="19"/>
          <w:szCs w:val="19"/>
          <w:color w:val="auto"/>
        </w:rPr>
        <w:t>Cell closure, final closure and post-closure costs (also referred to as "asset retirement obligations") are calculated by estimating the total obligation in current dollars, adjusted for future inflation estimates and discounted at the Company's credit-adjusted risk-free interest rate (6.57% and 6.51% during 2024 and 2023, respectively).</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Non-Landfill Closure and Post-Closure Liabilities</w:t>
      </w:r>
    </w:p>
    <w:p>
      <w:pPr>
        <w:spacing w:after="0" w:line="167" w:lineRule="exact"/>
        <w:rPr>
          <w:sz w:val="20"/>
          <w:szCs w:val="20"/>
          <w:color w:val="auto"/>
        </w:rPr>
      </w:pPr>
    </w:p>
    <w:p>
      <w:pPr>
        <w:ind w:right="80" w:firstLine="709"/>
        <w:spacing w:after="0" w:line="268" w:lineRule="auto"/>
        <w:rPr>
          <w:sz w:val="20"/>
          <w:szCs w:val="20"/>
          <w:color w:val="auto"/>
        </w:rPr>
      </w:pPr>
      <w:r>
        <w:rPr>
          <w:rFonts w:ascii="Arial" w:cs="Arial" w:eastAsia="Arial" w:hAnsi="Arial"/>
          <w:sz w:val="19"/>
          <w:szCs w:val="19"/>
          <w:color w:val="auto"/>
        </w:rPr>
        <w:t>The balance of non-landfill closure and post-closure liabilities at December 31, 2024 and 2023 was $70.4 million and $59.2 million, respectively. Non-landfill closure and post-closure obligations arise when the Company commences non-landfill facility operations and include costs required to dismantle and decontaminate certain structures and other costs incurred during the closure process. Post-closure costs, if required, include associated maintenance and monitoring costs as required by the closure permit. Post-closure periods are performance-based and are not typically specified in terms of years in the closure permit, but generally range from 10 to 30 years or more.</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880" w:h="15480" w:orient="portrait"/>
          <w:cols w:equalWidth="0" w:num="1">
            <w:col w:w="10120"/>
          </w:cols>
          <w:pgMar w:left="880" w:top="338" w:right="880" w:bottom="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160" w:firstLine="709"/>
        <w:spacing w:after="0" w:line="274" w:lineRule="auto"/>
        <w:rPr>
          <w:sz w:val="20"/>
          <w:szCs w:val="20"/>
          <w:color w:val="auto"/>
        </w:rPr>
      </w:pPr>
      <w:r>
        <w:rPr>
          <w:rFonts w:ascii="Arial" w:cs="Arial" w:eastAsia="Arial" w:hAnsi="Arial"/>
          <w:sz w:val="18"/>
          <w:szCs w:val="18"/>
          <w:color w:val="auto"/>
        </w:rPr>
        <w:t>The Company records its non-landfill closure and post-closure liability by: (i) estimating the current cost of closing a non-landfill facility and the post-closure care of that facility, if required, based upon the closure plan that the Company is required to follow under its operating permit, or in the event the facility operates with a permit that does not contain a closure plan, based upon legally enforceable closure commitments made by the Company to various government agencies;</w:t>
      </w:r>
    </w:p>
    <w:p>
      <w:pPr>
        <w:jc w:val="both"/>
        <w:ind w:right="200" w:firstLine="7"/>
        <w:spacing w:after="0" w:line="261" w:lineRule="auto"/>
        <w:tabs>
          <w:tab w:leader="none" w:pos="29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estimates as to when future operations may cease; (iii) cost estimates of closing the non-landfill facility using the inflation rate to the time of closing; and (iv) discounting the future value back to the present using the credit-adjusted risk-free interest rate.</w:t>
      </w:r>
    </w:p>
    <w:p>
      <w:pPr>
        <w:spacing w:after="0" w:line="116" w:lineRule="exact"/>
        <w:rPr>
          <w:sz w:val="20"/>
          <w:szCs w:val="20"/>
          <w:color w:val="auto"/>
        </w:rPr>
      </w:pPr>
    </w:p>
    <w:p>
      <w:pPr>
        <w:ind w:firstLine="709"/>
        <w:spacing w:after="0" w:line="264" w:lineRule="auto"/>
        <w:rPr>
          <w:sz w:val="20"/>
          <w:szCs w:val="20"/>
          <w:color w:val="auto"/>
        </w:rPr>
      </w:pPr>
      <w:r>
        <w:rPr>
          <w:rFonts w:ascii="Arial" w:cs="Arial" w:eastAsia="Arial" w:hAnsi="Arial"/>
          <w:sz w:val="19"/>
          <w:szCs w:val="19"/>
          <w:color w:val="auto"/>
        </w:rPr>
        <w:t>The estimates for non-landfill closure and post-closure liabilities are inherently uncertain due to the possibility that permit and regulatory requirements will change in the future, impacting the estimation of total costs and the timing of the expenditures. Management reviews non-landfill closure and post-closure liabilities for changes to key assumptions that would impact the amount of the recorded liabilities. Changes that would prompt management to revise a liability estimate include changes in legal requirements that impact the Company's expected closure plan or scope of work, in the market price of a significant cost item, in the estimate as to when future operations at a location might cease or in the expected timing of the costs. Changes in estimates for non-landfill closure and post-closure events immediately impact the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changes to non-landfill closure and post-closure estimates have not been material.</w:t>
      </w:r>
    </w:p>
    <w:p>
      <w:pPr>
        <w:spacing w:after="0" w:line="111"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Remedial Liabilities</w:t>
      </w:r>
    </w:p>
    <w:p>
      <w:pPr>
        <w:spacing w:after="0" w:line="167" w:lineRule="exact"/>
        <w:rPr>
          <w:sz w:val="20"/>
          <w:szCs w:val="20"/>
          <w:color w:val="auto"/>
        </w:rPr>
      </w:pPr>
    </w:p>
    <w:p>
      <w:pPr>
        <w:ind w:right="40" w:firstLine="709"/>
        <w:spacing w:after="0" w:line="278" w:lineRule="auto"/>
        <w:rPr>
          <w:sz w:val="20"/>
          <w:szCs w:val="20"/>
          <w:color w:val="auto"/>
        </w:rPr>
      </w:pPr>
      <w:r>
        <w:rPr>
          <w:rFonts w:ascii="Arial" w:cs="Arial" w:eastAsia="Arial" w:hAnsi="Arial"/>
          <w:sz w:val="18"/>
          <w:szCs w:val="18"/>
          <w:color w:val="auto"/>
        </w:rPr>
        <w:t>The balance of remedial liabilities at December 31, 2024 and 2023 was $111.7 million and $111.2 million, respectively. Remedial liabilities, including Superfund liabilities, include the costs of removal or containment of contaminated material,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and Superfund sites owned by third-parties for which the Company, or the prior owners of certain of the Company's facilities for which the Company may have certain indemnification obligations, have been identified as potentially responsible parties ("PRPs") or potential PRPs. The Company's estimate of remedial liabilities involves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 technology; and (iv) in the case of Superfund and other sites where other parties will also be responsible for a portion of the cleanup costs, the likely allocation of such costs and the ability of such other parties to pay their share. The measurement of remedial liabilities is reviewed at least quarterly and changes in estimates are recognized in the consolidated statements of operations when identified.</w:t>
      </w:r>
    </w:p>
    <w:p>
      <w:pPr>
        <w:spacing w:after="0" w:line="111" w:lineRule="exact"/>
        <w:rPr>
          <w:sz w:val="20"/>
          <w:szCs w:val="20"/>
          <w:color w:val="auto"/>
        </w:rPr>
      </w:pPr>
    </w:p>
    <w:p>
      <w:pPr>
        <w:ind w:firstLine="709"/>
        <w:spacing w:after="0" w:line="250" w:lineRule="auto"/>
        <w:rPr>
          <w:sz w:val="20"/>
          <w:szCs w:val="20"/>
          <w:color w:val="auto"/>
        </w:rPr>
      </w:pPr>
      <w:r>
        <w:rPr>
          <w:rFonts w:ascii="Arial" w:cs="Arial" w:eastAsia="Arial" w:hAnsi="Arial"/>
          <w:sz w:val="20"/>
          <w:szCs w:val="20"/>
          <w:color w:val="auto"/>
        </w:rPr>
        <w:t>Where the Company concludes that it is probable that a liability has been incurred and an amount can be estimated, a liability is recognized. Remedial liabilities are inherently difficult to estimate. Estimating remedial liabilities requires that the existing environmental contamination be understood. There are risks that the actual quantities of contaminants differ from the results of the site investigation, and that contaminants exist that have not been previously identified. In addition, the value of the remedial liabilities is dependent on the remedial method selected. There is a risk that funds will be expended on a remedial solution that is not successful, which could result in the Company incurring the incremental costs of an alternative solution. Such estimates, which are subject to change, are subsequently revised if and when additional or new information becomes available.</w:t>
      </w:r>
    </w:p>
    <w:p>
      <w:pPr>
        <w:spacing w:after="0" w:line="132" w:lineRule="exact"/>
        <w:rPr>
          <w:sz w:val="20"/>
          <w:szCs w:val="20"/>
          <w:color w:val="auto"/>
        </w:rPr>
      </w:pPr>
    </w:p>
    <w:p>
      <w:pPr>
        <w:ind w:firstLine="709"/>
        <w:spacing w:after="0" w:line="268" w:lineRule="auto"/>
        <w:rPr>
          <w:sz w:val="20"/>
          <w:szCs w:val="20"/>
          <w:color w:val="auto"/>
        </w:rPr>
      </w:pPr>
      <w:r>
        <w:rPr>
          <w:rFonts w:ascii="Arial" w:cs="Arial" w:eastAsia="Arial" w:hAnsi="Arial"/>
          <w:sz w:val="19"/>
          <w:szCs w:val="19"/>
          <w:color w:val="auto"/>
        </w:rPr>
        <w:t>Remedial liabilities are discounted when the timing of the payments is determinable and the amounts are estimable. In the case of remedial liabilities assumed in connection with acquisitions, acquired liabilities are recorded at fair value as of the dates of the acquisitions calculated by inflating costs in current dollars using an estimate of future inflation rates as of the respective acquisition dates until the expected time of payment, and then discounting the amount of the payments to their present value using a risk-free discount rate as of the acquisition dates. Discount rates used in the present value determination of the Company's remedial liabilities range from 1.37% to 4.90%.</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Self-Insurance Liabilities</w:t>
      </w:r>
    </w:p>
    <w:p>
      <w:pPr>
        <w:spacing w:after="0" w:line="167" w:lineRule="exact"/>
        <w:rPr>
          <w:sz w:val="20"/>
          <w:szCs w:val="20"/>
          <w:color w:val="auto"/>
        </w:rPr>
      </w:pPr>
    </w:p>
    <w:p>
      <w:pPr>
        <w:ind w:firstLine="709"/>
        <w:spacing w:after="0" w:line="356" w:lineRule="auto"/>
        <w:rPr>
          <w:sz w:val="20"/>
          <w:szCs w:val="20"/>
          <w:color w:val="auto"/>
        </w:rPr>
      </w:pPr>
      <w:r>
        <w:rPr>
          <w:rFonts w:ascii="Arial" w:cs="Arial" w:eastAsia="Arial" w:hAnsi="Arial"/>
          <w:sz w:val="16"/>
          <w:szCs w:val="16"/>
          <w:color w:val="auto"/>
        </w:rPr>
        <w:t>The Company self-insures a significant portion of expected losses related to workers' compensation, employee medical, comprehensive general liability and vehicle liability. Liabilities associated with these losses are recorded based on the Company's estimates of the ultimate cost to settle incurred claims. These recorded liabilities are estimated based on independent</w:t>
      </w:r>
    </w:p>
    <w:p>
      <w:pPr>
        <w:sectPr>
          <w:pgSz w:w="11880" w:h="15480" w:orient="portrait"/>
          <w:cols w:equalWidth="0" w:num="1">
            <w:col w:w="10100"/>
          </w:cols>
          <w:pgMar w:left="880" w:top="338" w:right="90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880" w:h="15480" w:orient="portrait"/>
          <w:cols w:equalWidth="0" w:num="1">
            <w:col w:w="10100"/>
          </w:cols>
          <w:pgMar w:left="880" w:top="338" w:right="900" w:bottom="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700"/>
        <w:spacing w:after="0" w:line="276" w:lineRule="auto"/>
        <w:rPr>
          <w:sz w:val="20"/>
          <w:szCs w:val="20"/>
          <w:color w:val="auto"/>
        </w:rPr>
      </w:pPr>
      <w:r>
        <w:rPr>
          <w:rFonts w:ascii="Arial" w:cs="Arial" w:eastAsia="Arial" w:hAnsi="Arial"/>
          <w:sz w:val="20"/>
          <w:szCs w:val="20"/>
          <w:color w:val="auto"/>
        </w:rPr>
        <w:t>actuarial estimates and judgments which consider the frequency and settlement amount of historical claims data and are discounted to present value using a risk-free interest rate.</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67" w:lineRule="exact"/>
        <w:rPr>
          <w:sz w:val="20"/>
          <w:szCs w:val="20"/>
          <w:color w:val="auto"/>
        </w:rPr>
      </w:pPr>
    </w:p>
    <w:p>
      <w:pPr>
        <w:ind w:right="20" w:firstLine="709"/>
        <w:spacing w:after="0" w:line="280" w:lineRule="auto"/>
        <w:rPr>
          <w:sz w:val="20"/>
          <w:szCs w:val="20"/>
          <w:color w:val="auto"/>
        </w:rPr>
      </w:pPr>
      <w:r>
        <w:rPr>
          <w:rFonts w:ascii="Arial" w:cs="Arial" w:eastAsia="Arial" w:hAnsi="Arial"/>
          <w:sz w:val="18"/>
          <w:szCs w:val="18"/>
          <w:color w:val="auto"/>
        </w:rPr>
        <w:t>The Company recognizes revenue when control of the promised goods or services is transferred to the Company's customers, in an amount that reflects the consideration the Company expects to be entitled to in exchange for those goods or services. The majority of the Company’s revenues are for services, which are recognized based on time and materials incurred at contractually agreed-upon rates. Product revenues are recognized when the products are delivered and control transfers to the customer. The Company’s payment terms vary by the type of customers and the products or services offered. The periods between invoicing and when payments are due are not significant. Amounts billed to customers related to shipping and handling are classified as revenue, and the Company's shipping and handling costs are included in costs of revenues. In the course of operations, the Company collects sales tax and other excise taxes from its customers and recognizes a current liability, which is then relieved when the taxes are remitted to the appropriate government authorities. The Company excludes sales and other excise taxes that it collects from customers from its revenues.</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Foreign Currency</w:t>
      </w:r>
    </w:p>
    <w:p>
      <w:pPr>
        <w:spacing w:after="0" w:line="167" w:lineRule="exact"/>
        <w:rPr>
          <w:sz w:val="20"/>
          <w:szCs w:val="20"/>
          <w:color w:val="auto"/>
        </w:rPr>
      </w:pPr>
    </w:p>
    <w:p>
      <w:pPr>
        <w:ind w:right="120" w:firstLine="709"/>
        <w:spacing w:after="0" w:line="281" w:lineRule="auto"/>
        <w:rPr>
          <w:sz w:val="20"/>
          <w:szCs w:val="20"/>
          <w:color w:val="auto"/>
        </w:rPr>
      </w:pPr>
      <w:r>
        <w:rPr>
          <w:rFonts w:ascii="Arial" w:cs="Arial" w:eastAsia="Arial" w:hAnsi="Arial"/>
          <w:sz w:val="18"/>
          <w:szCs w:val="18"/>
          <w:color w:val="auto"/>
        </w:rPr>
        <w:t>The Company has international operations in Canada and administrative support services located in India. The functional currencies of foreign operations are the local currency and therefore assets and liabilities of those foreign operations are translated to U.S. Dollars at the exchange rate in effect at the balance sheet date and revenue and expenses at the average exchange rate for the period. Gains and losses from the translation of the consolidated financial statements of foreign subsidiaries into U.S. Dollars are included in stockholders' equity as a component of accumulated other comprehensive loss. Gains and losses from transactions not denominated in the functional currency of an entity are recognized in the consolidated statements of operations. Recorded balances that are denominated in a currency other than the functional currency are remeasured to the functional currency using the exchange rate at the balance sheet date and gains or losses are recorded in the consolidated statements of operations.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Defined Contribution Plan</w:t>
      </w:r>
    </w:p>
    <w:p>
      <w:pPr>
        <w:spacing w:after="0" w:line="167" w:lineRule="exact"/>
        <w:rPr>
          <w:sz w:val="20"/>
          <w:szCs w:val="20"/>
          <w:color w:val="auto"/>
        </w:rPr>
      </w:pPr>
    </w:p>
    <w:p>
      <w:pPr>
        <w:ind w:right="300" w:firstLine="709"/>
        <w:spacing w:after="0" w:line="261" w:lineRule="auto"/>
        <w:rPr>
          <w:sz w:val="20"/>
          <w:szCs w:val="20"/>
          <w:color w:val="auto"/>
        </w:rPr>
      </w:pPr>
      <w:r>
        <w:rPr>
          <w:rFonts w:ascii="Arial" w:cs="Arial" w:eastAsia="Arial" w:hAnsi="Arial"/>
          <w:sz w:val="20"/>
          <w:szCs w:val="20"/>
          <w:color w:val="auto"/>
        </w:rPr>
        <w:t>The Company has defined contribution plans under which eligible employees may contribute up to the maximum amount as provided by law. The Company matches a portion of these employee contributions and contributed $30.9 million, $28.8 million and $25.3 million in 2024, 2023 and 2022 respectively.</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Advertising Expense</w:t>
      </w:r>
    </w:p>
    <w:p>
      <w:pPr>
        <w:spacing w:after="0" w:line="167" w:lineRule="exact"/>
        <w:rPr>
          <w:sz w:val="20"/>
          <w:szCs w:val="20"/>
          <w:color w:val="auto"/>
        </w:rPr>
      </w:pPr>
    </w:p>
    <w:p>
      <w:pPr>
        <w:ind w:right="80" w:firstLine="709"/>
        <w:spacing w:after="0" w:line="276" w:lineRule="auto"/>
        <w:rPr>
          <w:sz w:val="20"/>
          <w:szCs w:val="20"/>
          <w:color w:val="auto"/>
        </w:rPr>
      </w:pPr>
      <w:r>
        <w:rPr>
          <w:rFonts w:ascii="Arial" w:cs="Arial" w:eastAsia="Arial" w:hAnsi="Arial"/>
          <w:sz w:val="20"/>
          <w:szCs w:val="20"/>
          <w:color w:val="auto"/>
        </w:rPr>
        <w:t>Advertising costs are expensed as incurred. Advertising expense was $11.4 million in 2024, $10.9 million in 2023 and $9.4 million in 2022.</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67" w:lineRule="exact"/>
        <w:rPr>
          <w:sz w:val="20"/>
          <w:szCs w:val="20"/>
          <w:color w:val="auto"/>
        </w:rPr>
      </w:pPr>
    </w:p>
    <w:p>
      <w:pPr>
        <w:ind w:right="20" w:firstLine="709"/>
        <w:spacing w:after="0" w:line="280"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over the requisite service period, which generally represents the vesting period. In addition, the Company issues awards with performance targets established prior to or at the grant date. The expense for these awards is recognized over the requisite service period when management believes it is probable those performance targets will be achieved. The fair value of the Company's grants under the 2020 Stock Incentive Plan are based on the closing price of the Company's common stock on the respective dates of grant. The fair value of shares issued under the Company’s 2024 Employee Stock Purchase plan are valued using the Black-Scholes option pricing model, which requires management to make assumptions with respect to the fair value of our common stock on the grant date, including the expected volatility of our stock, calculated based on a period of time generally commensurate with the expected term of the award and risk-free interest rates. Forfeitures are recognized as they occur. Stock-based compensation is recognized in selling, general and administrative expense.</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Interest Rate Derivatives</w:t>
      </w:r>
    </w:p>
    <w:p>
      <w:pPr>
        <w:spacing w:after="0" w:line="167" w:lineRule="exact"/>
        <w:rPr>
          <w:sz w:val="20"/>
          <w:szCs w:val="20"/>
          <w:color w:val="auto"/>
        </w:rPr>
      </w:pPr>
    </w:p>
    <w:p>
      <w:pPr>
        <w:ind w:firstLine="709"/>
        <w:spacing w:after="0" w:line="327" w:lineRule="auto"/>
        <w:rPr>
          <w:sz w:val="20"/>
          <w:szCs w:val="20"/>
          <w:color w:val="auto"/>
        </w:rPr>
      </w:pPr>
      <w:r>
        <w:rPr>
          <w:rFonts w:ascii="Arial" w:cs="Arial" w:eastAsia="Arial" w:hAnsi="Arial"/>
          <w:sz w:val="16"/>
          <w:szCs w:val="16"/>
          <w:color w:val="auto"/>
        </w:rPr>
        <w:t>The Company enters into interest rate derivative agreements as part of the overall strategy to hedge against fluctuations in variable interest rates. These interest rate derivatives swap a variable interest rate for a fixed interest rate and have been designated as cash flow hedges. The Company assesses the hedge’s effectiveness at the inception of the hedge and at regular intervals throughout the life of the derivative. To the extent that the interest rate swap is highly effective, changes in fair value are recorded in stockholders’ equity as a component of accumulated other comprehensive loss. Amounts are reclassified from accumulated other comprehensive loss into interest expense on the consolidated statement of operations in the same period or</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880" w:h="15480" w:orient="portrait"/>
          <w:cols w:equalWidth="0" w:num="1">
            <w:col w:w="10120"/>
          </w:cols>
          <w:pgMar w:left="880" w:top="338" w:right="880" w:bottom="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periods during which the hedged transactions affect earnings. Although it was determined that the interest rate swaps will be a highly effective hedge, any portion of the interest rate swaps subsequently determined to be ineffective will be recognized in earnings. Further, if it becomes probable that a forecasted transaction designated as the hedged item will not occur, any gain or loss deferred is recognized in interest expense at that time.</w:t>
      </w:r>
    </w:p>
    <w:p>
      <w:pPr>
        <w:spacing w:after="0" w:line="105" w:lineRule="exact"/>
        <w:rPr>
          <w:sz w:val="20"/>
          <w:szCs w:val="20"/>
          <w:color w:val="auto"/>
        </w:rPr>
      </w:pPr>
    </w:p>
    <w:p>
      <w:pPr>
        <w:ind w:right="160" w:firstLine="709"/>
        <w:spacing w:after="0" w:line="289" w:lineRule="auto"/>
        <w:rPr>
          <w:sz w:val="20"/>
          <w:szCs w:val="20"/>
          <w:color w:val="auto"/>
        </w:rPr>
      </w:pPr>
      <w:r>
        <w:rPr>
          <w:rFonts w:ascii="Arial" w:cs="Arial" w:eastAsia="Arial" w:hAnsi="Arial"/>
          <w:sz w:val="18"/>
          <w:szCs w:val="18"/>
          <w:color w:val="auto"/>
        </w:rPr>
        <w:t>The fair value of the interest rate swaps is calculated using discounted cash flow valuation methodologies based upon the one-month variable rate yield curves that are observable at commonly quoted intervals for the full term of the interest rate swaps and as such is considered a Level 2 measure according to the fair value hierarchy. The Company recognizes the fair value of the derivative instruments by counterparty as either a net asset, included in Other long-term assets, or net liability, included in Accrued expenses and other current liabilities, on the consolidated balance sheets.</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Income Taxes</w:t>
      </w:r>
    </w:p>
    <w:p>
      <w:pPr>
        <w:spacing w:after="0" w:line="167" w:lineRule="exact"/>
        <w:rPr>
          <w:sz w:val="20"/>
          <w:szCs w:val="20"/>
          <w:color w:val="auto"/>
        </w:rPr>
      </w:pPr>
    </w:p>
    <w:p>
      <w:pPr>
        <w:ind w:right="100" w:firstLine="709"/>
        <w:spacing w:after="0" w:line="322" w:lineRule="auto"/>
        <w:rPr>
          <w:sz w:val="20"/>
          <w:szCs w:val="20"/>
          <w:color w:val="auto"/>
        </w:rPr>
      </w:pPr>
      <w:r>
        <w:rPr>
          <w:rFonts w:ascii="Arial" w:cs="Arial" w:eastAsia="Arial" w:hAnsi="Arial"/>
          <w:sz w:val="16"/>
          <w:szCs w:val="16"/>
          <w:color w:val="auto"/>
        </w:rPr>
        <w:t>Current income tax expense approximates cash to be paid or refunded for taxes for the applicable period. Deferred tax expense or benefit is the result of changes between deferred tax assets and liabilities. Deferred tax assets and liabilities are determined based upon the temporary differences between the financial statement basis and tax basis of assets and liabilities as well as from net operating loss and tax credit carryforwards as measured by the enacted tax rates which will be in effect when these differences reverse. The effect of a change in tax rates on deferred tax assets and liabilities is generally recognized in income in the period that includes the enactment date. The Company evaluates the recoverability of future tax deductions and credits and a valuation allowance is established by tax jurisdiction when, based on an evaluation of both positive and negative objective verifiable evidence, it is more likely than not that some portion or all of deferred tax assets will not be realized.</w:t>
      </w:r>
    </w:p>
    <w:p>
      <w:pPr>
        <w:spacing w:after="0" w:line="74" w:lineRule="exact"/>
        <w:rPr>
          <w:sz w:val="20"/>
          <w:szCs w:val="20"/>
          <w:color w:val="auto"/>
        </w:rPr>
      </w:pPr>
    </w:p>
    <w:p>
      <w:pPr>
        <w:ind w:right="40" w:firstLine="709"/>
        <w:spacing w:after="0" w:line="282" w:lineRule="auto"/>
        <w:rPr>
          <w:sz w:val="20"/>
          <w:szCs w:val="20"/>
          <w:color w:val="auto"/>
        </w:rPr>
      </w:pPr>
      <w:r>
        <w:rPr>
          <w:rFonts w:ascii="Arial" w:cs="Arial" w:eastAsia="Arial" w:hAnsi="Arial"/>
          <w:sz w:val="18"/>
          <w:szCs w:val="18"/>
          <w:color w:val="auto"/>
        </w:rPr>
        <w:t>The Company recognizes and measures a tax benefit from uncertain tax positions when it is more likely than not that the tax position will be sustained upon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benefit. These differences will be reflected as increases or decreases to income tax expense in the period in which they are determined. Liabilities for unrecognized tax benefits are included within other long-term liabilities in the consolidated balance sheets.</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Earnings per Share ("EPS")</w:t>
      </w:r>
    </w:p>
    <w:p>
      <w:pPr>
        <w:spacing w:after="0" w:line="167" w:lineRule="exact"/>
        <w:rPr>
          <w:sz w:val="20"/>
          <w:szCs w:val="20"/>
          <w:color w:val="auto"/>
        </w:rPr>
      </w:pPr>
    </w:p>
    <w:p>
      <w:pPr>
        <w:ind w:right="300" w:firstLine="709"/>
        <w:spacing w:after="0" w:line="261" w:lineRule="auto"/>
        <w:rPr>
          <w:sz w:val="20"/>
          <w:szCs w:val="20"/>
          <w:color w:val="auto"/>
        </w:rPr>
      </w:pPr>
      <w:r>
        <w:rPr>
          <w:rFonts w:ascii="Arial" w:cs="Arial" w:eastAsia="Arial" w:hAnsi="Arial"/>
          <w:sz w:val="20"/>
          <w:szCs w:val="20"/>
          <w:color w:val="auto"/>
        </w:rPr>
        <w:t>Basic EPS is calculated using the treasury stock method by dividing net income by the weighted average number of common shares outstanding during the period. Diluted EPS gives effect to all potentially dilutive common shares that were outstanding during the period.</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Leases</w:t>
      </w:r>
    </w:p>
    <w:p>
      <w:pPr>
        <w:spacing w:after="0" w:line="167" w:lineRule="exact"/>
        <w:rPr>
          <w:sz w:val="20"/>
          <w:szCs w:val="20"/>
          <w:color w:val="auto"/>
        </w:rPr>
      </w:pPr>
    </w:p>
    <w:p>
      <w:pPr>
        <w:ind w:firstLine="709"/>
        <w:spacing w:after="0" w:line="293" w:lineRule="auto"/>
        <w:rPr>
          <w:sz w:val="20"/>
          <w:szCs w:val="20"/>
          <w:color w:val="auto"/>
        </w:rPr>
      </w:pPr>
      <w:r>
        <w:rPr>
          <w:rFonts w:ascii="Arial" w:cs="Arial" w:eastAsia="Arial" w:hAnsi="Arial"/>
          <w:sz w:val="18"/>
          <w:szCs w:val="18"/>
          <w:color w:val="auto"/>
        </w:rPr>
        <w:t>The Company’s leases predominately relate to real estate, equipment, such as vehicles and industrial equipment utilized in operations, and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92" w:lineRule="exact"/>
        <w:rPr>
          <w:sz w:val="20"/>
          <w:szCs w:val="20"/>
          <w:color w:val="auto"/>
        </w:rPr>
      </w:pPr>
    </w:p>
    <w:p>
      <w:pPr>
        <w:ind w:right="120" w:firstLine="709"/>
        <w:spacing w:after="0" w:line="265" w:lineRule="auto"/>
        <w:rPr>
          <w:sz w:val="20"/>
          <w:szCs w:val="20"/>
          <w:color w:val="auto"/>
        </w:rPr>
      </w:pPr>
      <w:r>
        <w:rPr>
          <w:rFonts w:ascii="Arial" w:cs="Arial" w:eastAsia="Arial" w:hAnsi="Arial"/>
          <w:sz w:val="19"/>
          <w:szCs w:val="19"/>
          <w:color w:val="auto"/>
        </w:rPr>
        <w:t>The Company generally enters into long-term real estate leases with two to ten-year terms and long-term non-real estate leases with three to seven-year terms. In the normal course of business, the Company also enters into short-term operating leases having terms of one year or less. These leases are generally equipment leases entered into for short periods of time (e.g. daily, weekly or monthly) to satisfy immediate and/or short-term operational needs of the business which can arise based upon the nature of particular services performed. The Company has elected not to recognize right-of-use ("ROU") assets and lease liabilities for these short-term leases. Operating leases with terms exceeding one year and all finance leases are recognized as ROU assets and lease liabilities and measured at commencement date based on the present value of the future lease payments over the lease term.</w:t>
      </w:r>
    </w:p>
    <w:p>
      <w:pPr>
        <w:spacing w:after="0" w:line="119" w:lineRule="exact"/>
        <w:rPr>
          <w:sz w:val="20"/>
          <w:szCs w:val="20"/>
          <w:color w:val="auto"/>
        </w:rPr>
      </w:pPr>
    </w:p>
    <w:p>
      <w:pPr>
        <w:ind w:firstLine="709"/>
        <w:spacing w:after="0" w:line="286" w:lineRule="auto"/>
        <w:rPr>
          <w:sz w:val="20"/>
          <w:szCs w:val="20"/>
          <w:color w:val="auto"/>
        </w:rPr>
      </w:pPr>
      <w:r>
        <w:rPr>
          <w:rFonts w:ascii="Arial" w:cs="Arial" w:eastAsia="Arial" w:hAnsi="Arial"/>
          <w:sz w:val="18"/>
          <w:szCs w:val="18"/>
          <w:color w:val="auto"/>
        </w:rPr>
        <w:t>Certain of the Company's real estate leases contain escalating future lease payments. Escalating lease payments that are based upon explicit amounts contained in the lease or an index (e.g., consumer price index) are included in the Company's determination of future lease payments to determine the ROU asset and lease liability recognized at the commencement date. Any differences in the future lease 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880" w:h="15480" w:orient="portrait"/>
          <w:cols w:equalWidth="0" w:num="1">
            <w:col w:w="10120"/>
          </w:cols>
          <w:pgMar w:left="880" w:top="338" w:right="880" w:bottom="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periods at the Company’s option. The Company includes these renewal periods in the lease term only when renewal is reasonably certain based upon facts and circumstances specific to the lease and known by the Company. Certain of the equipment and rail car leases transfer ownership upon the conclusion of the lease term and as such, are classified as finance leases. Leases containing purchase options are classified as finance leases only when it is reasonably certain that the Company will execute such options.</w:t>
      </w:r>
    </w:p>
    <w:p>
      <w:pPr>
        <w:spacing w:after="0" w:line="123" w:lineRule="exact"/>
        <w:rPr>
          <w:sz w:val="20"/>
          <w:szCs w:val="20"/>
          <w:color w:val="auto"/>
        </w:rPr>
      </w:pPr>
    </w:p>
    <w:p>
      <w:pPr>
        <w:ind w:right="40" w:firstLine="709"/>
        <w:spacing w:after="0" w:line="261" w:lineRule="auto"/>
        <w:rPr>
          <w:sz w:val="20"/>
          <w:szCs w:val="20"/>
          <w:color w:val="auto"/>
        </w:rPr>
      </w:pPr>
      <w:r>
        <w:rPr>
          <w:rFonts w:ascii="Arial" w:cs="Arial" w:eastAsia="Arial" w:hAnsi="Arial"/>
          <w:sz w:val="20"/>
          <w:szCs w:val="20"/>
          <w:color w:val="auto"/>
        </w:rPr>
        <w:t>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116" w:lineRule="exact"/>
        <w:rPr>
          <w:sz w:val="20"/>
          <w:szCs w:val="20"/>
          <w:color w:val="auto"/>
        </w:rPr>
      </w:pPr>
    </w:p>
    <w:p>
      <w:pPr>
        <w:ind w:right="200" w:firstLine="709"/>
        <w:spacing w:after="0" w:line="254" w:lineRule="auto"/>
        <w:rPr>
          <w:sz w:val="20"/>
          <w:szCs w:val="20"/>
          <w:color w:val="auto"/>
        </w:rPr>
      </w:pPr>
      <w:r>
        <w:rPr>
          <w:rFonts w:ascii="Arial" w:cs="Arial" w:eastAsia="Arial" w:hAnsi="Arial"/>
          <w:sz w:val="20"/>
          <w:szCs w:val="20"/>
          <w:color w:val="auto"/>
        </w:rPr>
        <w:t>For operating leases, lease cost is recognized on a straight-line basis over the lease term and is included in cost of revenues or selling, general and administrative expenses depending on the use of the asset. For finance leases, ROU assets are amortized on a straight-line basis and interest expense is recognized based on the incremental borrowing rate. Finance lease amortization is recognized in depreciation and amortization and finance lease related interest expense is recognized in interest expense, net of interest income.</w:t>
      </w:r>
    </w:p>
    <w:p>
      <w:pPr>
        <w:spacing w:after="0" w:line="120"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16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Accounting Pronouncements Adopted</w:t>
      </w:r>
    </w:p>
    <w:p>
      <w:pPr>
        <w:spacing w:after="0" w:line="164" w:lineRule="exact"/>
        <w:rPr>
          <w:sz w:val="20"/>
          <w:szCs w:val="20"/>
          <w:color w:val="auto"/>
        </w:rPr>
      </w:pPr>
    </w:p>
    <w:p>
      <w:pPr>
        <w:ind w:firstLine="709"/>
        <w:spacing w:after="0" w:line="342" w:lineRule="auto"/>
        <w:rPr>
          <w:sz w:val="20"/>
          <w:szCs w:val="20"/>
          <w:color w:val="auto"/>
        </w:rPr>
      </w:pPr>
      <w:r>
        <w:rPr>
          <w:rFonts w:ascii="Arial" w:cs="Arial" w:eastAsia="Arial" w:hAnsi="Arial"/>
          <w:sz w:val="16"/>
          <w:szCs w:val="16"/>
          <w:color w:val="auto"/>
        </w:rPr>
        <w:t xml:space="preserve">In November 2023, the Financial Accounting Standards Board ("FASB") issued ASU No. 2023-07, </w:t>
      </w:r>
      <w:r>
        <w:rPr>
          <w:rFonts w:ascii="Arial" w:cs="Arial" w:eastAsia="Arial" w:hAnsi="Arial"/>
          <w:sz w:val="16"/>
          <w:szCs w:val="16"/>
          <w:b w:val="1"/>
          <w:bCs w:val="1"/>
          <w:i w:val="1"/>
          <w:iCs w:val="1"/>
          <w:color w:val="auto"/>
        </w:rPr>
        <w:t>Segment Reporting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(Topic 280): Improvements to Reportable Segment Disclosures</w:t>
      </w:r>
      <w:r>
        <w:rPr>
          <w:rFonts w:ascii="Arial" w:cs="Arial" w:eastAsia="Arial" w:hAnsi="Arial"/>
          <w:sz w:val="16"/>
          <w:szCs w:val="16"/>
          <w:color w:val="auto"/>
        </w:rPr>
        <w:t>, which requires an enhanced disclosure of significant 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on an annual and interim basis. The Company adopted ASU No. 2023-07 for the year ended December 31, 2024. The only significant impact from the adoption of this standard relates to incremental disclosures now required.</w:t>
      </w:r>
    </w:p>
    <w:p>
      <w:pPr>
        <w:spacing w:after="0" w:line="5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Accounting Pronouncements Not Yet Adopted</w:t>
      </w:r>
    </w:p>
    <w:p>
      <w:pPr>
        <w:spacing w:after="0" w:line="164" w:lineRule="exact"/>
        <w:rPr>
          <w:sz w:val="20"/>
          <w:szCs w:val="20"/>
          <w:color w:val="auto"/>
        </w:rPr>
      </w:pPr>
    </w:p>
    <w:p>
      <w:pPr>
        <w:ind w:right="140" w:firstLine="709"/>
        <w:spacing w:after="0" w:line="289"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b w:val="1"/>
          <w:bCs w:val="1"/>
          <w:i w:val="1"/>
          <w:iCs w:val="1"/>
          <w:color w:val="auto"/>
        </w:rPr>
        <w:t>Income Taxes (Topic 740): Improvements to Income Tax</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Disclosures</w:t>
      </w:r>
      <w:r>
        <w:rPr>
          <w:rFonts w:ascii="Arial" w:cs="Arial" w:eastAsia="Arial" w:hAnsi="Arial"/>
          <w:sz w:val="18"/>
          <w:szCs w:val="18"/>
          <w:color w:val="auto"/>
        </w:rPr>
        <w:t>, which enhances income tax disclosures related to the tax rate reconciliation and income taxes paid. This guidance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effective for the annual periods beginning the year ended December 31, 2025. Early adoption is permitted. Upon adoption, the guidance can be applied prospectively or retrospectively. The Company is currently evaluating the impact of adopting this new pronouncement on its consolidated financial statements disclosures.</w:t>
      </w:r>
    </w:p>
    <w:p>
      <w:pPr>
        <w:spacing w:after="0" w:line="93" w:lineRule="exact"/>
        <w:rPr>
          <w:sz w:val="20"/>
          <w:szCs w:val="20"/>
          <w:color w:val="auto"/>
        </w:rPr>
      </w:pPr>
    </w:p>
    <w:p>
      <w:pPr>
        <w:ind w:right="60" w:firstLine="709"/>
        <w:spacing w:after="0" w:line="289" w:lineRule="auto"/>
        <w:rPr>
          <w:sz w:val="20"/>
          <w:szCs w:val="20"/>
          <w:color w:val="auto"/>
        </w:rPr>
      </w:pPr>
      <w:r>
        <w:rPr>
          <w:rFonts w:ascii="Arial" w:cs="Arial" w:eastAsia="Arial" w:hAnsi="Arial"/>
          <w:sz w:val="18"/>
          <w:szCs w:val="18"/>
          <w:color w:val="auto"/>
        </w:rPr>
        <w:t xml:space="preserve">In November 2024, the FASB issued ASU No. 2024-03, </w:t>
      </w:r>
      <w:r>
        <w:rPr>
          <w:rFonts w:ascii="Arial" w:cs="Arial" w:eastAsia="Arial" w:hAnsi="Arial"/>
          <w:sz w:val="18"/>
          <w:szCs w:val="18"/>
          <w:b w:val="1"/>
          <w:bCs w:val="1"/>
          <w:i w:val="1"/>
          <w:iCs w:val="1"/>
          <w:color w:val="auto"/>
        </w:rPr>
        <w:t>Income Statement—Reporting Comprehensive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Income—Expense Disaggregation Disclosures (Subtopic 220-40)</w:t>
      </w:r>
      <w:r>
        <w:rPr>
          <w:rFonts w:ascii="Arial" w:cs="Arial" w:eastAsia="Arial" w:hAnsi="Arial"/>
          <w:sz w:val="18"/>
          <w:szCs w:val="18"/>
          <w:color w:val="auto"/>
        </w:rPr>
        <w:t>, which requires disaggregated disclosure of income statement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This guidance will be effective for annual periods beginning the year ended December 31, 2027. Early adoption is permitted. Upon adoption, the guidance can be applied prospectively or retrospectively. The Company is currently evaluating the impact of adopting this new pronouncement on its consolidated financial statements disclosures.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REVENUES</w:t>
      </w:r>
    </w:p>
    <w:p>
      <w:pPr>
        <w:spacing w:after="0" w:line="171" w:lineRule="exact"/>
        <w:rPr>
          <w:sz w:val="20"/>
          <w:szCs w:val="20"/>
          <w:color w:val="auto"/>
        </w:rPr>
      </w:pPr>
    </w:p>
    <w:p>
      <w:pPr>
        <w:ind w:right="140" w:firstLine="709"/>
        <w:spacing w:after="0" w:line="251" w:lineRule="auto"/>
        <w:rPr>
          <w:sz w:val="20"/>
          <w:szCs w:val="20"/>
          <w:color w:val="auto"/>
        </w:rPr>
      </w:pPr>
      <w:r>
        <w:rPr>
          <w:rFonts w:ascii="Arial" w:cs="Arial" w:eastAsia="Arial" w:hAnsi="Arial"/>
          <w:sz w:val="20"/>
          <w:szCs w:val="20"/>
          <w:color w:val="auto"/>
        </w:rPr>
        <w:t>The Company generates revenues through the following operating segments: Environmental Services and SKSS. The Company’s Environmental Services operating segment generally has four sources of revenue and the SKSS operating segment has two sources of revenue. The Company disaggregates third-party revenues by geographic location and source of revenue as management believes these categories depict how revenue and cash flows are affected by economic factors. The tables below present revenue billed to outside customers by a particular segment. Should it be necessary, there will be intercompany transactions to present the direct revenues in the appropriate segment results. The Company’s significant sources of revenue include:</w:t>
      </w:r>
    </w:p>
    <w:p>
      <w:pPr>
        <w:spacing w:after="0" w:line="126" w:lineRule="exact"/>
        <w:rPr>
          <w:sz w:val="20"/>
          <w:szCs w:val="20"/>
          <w:color w:val="auto"/>
        </w:rPr>
      </w:pPr>
    </w:p>
    <w:p>
      <w:pPr>
        <w:ind w:right="20" w:firstLine="709"/>
        <w:spacing w:after="0" w:line="318" w:lineRule="auto"/>
        <w:rPr>
          <w:sz w:val="20"/>
          <w:szCs w:val="20"/>
          <w:color w:val="auto"/>
        </w:rPr>
      </w:pPr>
      <w:r>
        <w:rPr>
          <w:rFonts w:ascii="Arial" w:cs="Arial" w:eastAsia="Arial" w:hAnsi="Arial"/>
          <w:sz w:val="16"/>
          <w:szCs w:val="16"/>
          <w:b w:val="1"/>
          <w:bCs w:val="1"/>
          <w:i w:val="1"/>
          <w:iCs w:val="1"/>
          <w:color w:val="auto"/>
        </w:rPr>
        <w:t>Technical Services</w:t>
      </w:r>
      <w:r>
        <w:rPr>
          <w:rFonts w:ascii="Arial" w:cs="Arial" w:eastAsia="Arial" w:hAnsi="Arial"/>
          <w:sz w:val="16"/>
          <w:szCs w:val="16"/>
          <w:color w:val="auto"/>
        </w:rPr>
        <w:t>—Technical Services contribute to the revenues of the Environmental Services operating 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for these services are generated from fees charged for waste material management and disposal services including onsite environmental management services, collection and transportation, packaging, recycling, treatment and disposal of waste and remediation projects. These services handle hazardous and/or non-hazardous waste, including per- and polyfluoroalkyl substances (“PFAS”).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w:t>
      </w:r>
    </w:p>
    <w:p>
      <w:pPr>
        <w:sectPr>
          <w:pgSz w:w="11880" w:h="15480" w:orient="portrait"/>
          <w:cols w:equalWidth="0" w:num="1">
            <w:col w:w="10120"/>
          </w:cols>
          <w:pgMar w:left="880" w:top="338" w:right="880" w:bottom="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880" w:h="15480" w:orient="portrait"/>
          <w:cols w:equalWidth="0" w:num="1">
            <w:col w:w="10120"/>
          </w:cols>
          <w:pgMar w:left="880" w:top="338" w:right="880" w:bottom="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a basis for measuring the satisfaction of the performance obligation. Revenues for treatment and disposal of waste are recognized upon completion of treatment, final disposition,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11" w:lineRule="exact"/>
        <w:rPr>
          <w:sz w:val="20"/>
          <w:szCs w:val="20"/>
          <w:color w:val="auto"/>
        </w:rPr>
      </w:pPr>
    </w:p>
    <w:p>
      <w:pPr>
        <w:ind w:right="40" w:firstLine="709"/>
        <w:spacing w:after="0" w:line="281" w:lineRule="auto"/>
        <w:rPr>
          <w:sz w:val="20"/>
          <w:szCs w:val="20"/>
          <w:color w:val="auto"/>
        </w:rPr>
      </w:pPr>
      <w:r>
        <w:rPr>
          <w:rFonts w:ascii="Arial" w:cs="Arial" w:eastAsia="Arial" w:hAnsi="Arial"/>
          <w:sz w:val="18"/>
          <w:szCs w:val="18"/>
          <w:b w:val="1"/>
          <w:bCs w:val="1"/>
          <w:i w:val="1"/>
          <w:iCs w:val="1"/>
          <w:color w:val="auto"/>
        </w:rPr>
        <w:t>Industrial Services</w:t>
      </w:r>
      <w:r>
        <w:rPr>
          <w:rFonts w:ascii="Arial" w:cs="Arial" w:eastAsia="Arial" w:hAnsi="Arial"/>
          <w:sz w:val="18"/>
          <w:szCs w:val="18"/>
          <w:color w:val="auto"/>
        </w:rPr>
        <w:t>—Industrial Services contribute to the revenues of the Environmental Services operating segment.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revenues are primarily generated from industrial and specialty 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98" w:lineRule="exact"/>
        <w:rPr>
          <w:sz w:val="20"/>
          <w:szCs w:val="20"/>
          <w:color w:val="auto"/>
        </w:rPr>
      </w:pPr>
    </w:p>
    <w:p>
      <w:pPr>
        <w:ind w:firstLine="709"/>
        <w:spacing w:after="0" w:line="278" w:lineRule="auto"/>
        <w:rPr>
          <w:sz w:val="20"/>
          <w:szCs w:val="20"/>
          <w:color w:val="auto"/>
        </w:rPr>
      </w:pPr>
      <w:r>
        <w:rPr>
          <w:rFonts w:ascii="Arial" w:cs="Arial" w:eastAsia="Arial" w:hAnsi="Arial"/>
          <w:sz w:val="18"/>
          <w:szCs w:val="18"/>
          <w:b w:val="1"/>
          <w:bCs w:val="1"/>
          <w:i w:val="1"/>
          <w:iCs w:val="1"/>
          <w:color w:val="auto"/>
        </w:rPr>
        <w:t>Field and Emergency Response Services</w:t>
      </w:r>
      <w:r>
        <w:rPr>
          <w:rFonts w:ascii="Arial" w:cs="Arial" w:eastAsia="Arial" w:hAnsi="Arial"/>
          <w:sz w:val="18"/>
          <w:szCs w:val="18"/>
          <w:color w:val="auto"/>
        </w:rPr>
        <w:t>—Field and Emergency Response Services, which includes contributions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acquisition of HEPACO Blocker, Inc. and its subsidiaries (collectively, “HEPACO”) in 2024, contribute to the revenues of the Environmental Services 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environmental remediation, railcar cleaning, manhole/vault clean outs, product recovery and transfer and vacuum services. Additional services include filtration, water treatment services and wetland restoration.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07" w:lineRule="exact"/>
        <w:rPr>
          <w:sz w:val="20"/>
          <w:szCs w:val="20"/>
          <w:color w:val="auto"/>
        </w:rPr>
      </w:pPr>
    </w:p>
    <w:p>
      <w:pPr>
        <w:ind w:right="80" w:firstLine="709"/>
        <w:spacing w:after="0" w:line="281" w:lineRule="auto"/>
        <w:rPr>
          <w:sz w:val="20"/>
          <w:szCs w:val="20"/>
          <w:color w:val="auto"/>
        </w:rPr>
      </w:pPr>
      <w:r>
        <w:rPr>
          <w:rFonts w:ascii="Arial" w:cs="Arial" w:eastAsia="Arial" w:hAnsi="Arial"/>
          <w:sz w:val="18"/>
          <w:szCs w:val="18"/>
          <w:b w:val="1"/>
          <w:bCs w:val="1"/>
          <w:i w:val="1"/>
          <w:iCs w:val="1"/>
          <w:color w:val="auto"/>
        </w:rPr>
        <w:t>Safety-Kleen Environmental Services</w:t>
      </w:r>
      <w:r>
        <w:rPr>
          <w:rFonts w:ascii="Arial" w:cs="Arial" w:eastAsia="Arial" w:hAnsi="Arial"/>
          <w:sz w:val="18"/>
          <w:szCs w:val="18"/>
          <w:color w:val="auto"/>
        </w:rPr>
        <w:t>—Safety-Kleen Environmental Services revenues contribute both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Services operating segment and the SKSS operating segment.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automotive fluids contribute to the SKSS operating segment. Due to the complementary nature of these products and services and their customer base, there are some cross-overs of Safety-Kleen Environmental Services revenue streams between Environmental Services and SKSS operating segments.</w:t>
      </w:r>
    </w:p>
    <w:p>
      <w:pPr>
        <w:spacing w:after="0" w:line="107" w:lineRule="exact"/>
        <w:rPr>
          <w:sz w:val="20"/>
          <w:szCs w:val="20"/>
          <w:color w:val="auto"/>
        </w:rPr>
      </w:pPr>
    </w:p>
    <w:p>
      <w:pPr>
        <w:ind w:right="140" w:firstLine="709"/>
        <w:spacing w:after="0" w:line="320" w:lineRule="auto"/>
        <w:rPr>
          <w:sz w:val="20"/>
          <w:szCs w:val="20"/>
          <w:color w:val="auto"/>
        </w:rPr>
      </w:pPr>
      <w:r>
        <w:rPr>
          <w:rFonts w:ascii="Arial" w:cs="Arial" w:eastAsia="Arial" w:hAnsi="Arial"/>
          <w:sz w:val="16"/>
          <w:szCs w:val="16"/>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880" w:h="15480" w:orient="portrait"/>
          <w:cols w:equalWidth="0" w:num="1">
            <w:col w:w="10120"/>
          </w:cols>
          <w:pgMar w:left="880" w:top="338" w:right="880" w:bottom="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380"/>
        <w:spacing w:after="0" w:line="276" w:lineRule="auto"/>
        <w:rPr>
          <w:sz w:val="20"/>
          <w:szCs w:val="20"/>
          <w:color w:val="auto"/>
        </w:rPr>
      </w:pPr>
      <w:r>
        <w:rPr>
          <w:rFonts w:ascii="Arial" w:cs="Arial" w:eastAsia="Arial" w:hAnsi="Arial"/>
          <w:sz w:val="20"/>
          <w:szCs w:val="20"/>
          <w:color w:val="auto"/>
        </w:rPr>
        <w:t>interdependent nature of the arrangement. Revenue from parts washer services is recognized over the service interval as the customer receives the benefit of the services.</w:t>
      </w:r>
    </w:p>
    <w:p>
      <w:pPr>
        <w:spacing w:after="0" w:line="98" w:lineRule="exact"/>
        <w:rPr>
          <w:sz w:val="20"/>
          <w:szCs w:val="20"/>
          <w:color w:val="auto"/>
        </w:rPr>
      </w:pPr>
    </w:p>
    <w:p>
      <w:pPr>
        <w:ind w:right="120" w:firstLine="709"/>
        <w:spacing w:after="0" w:line="266" w:lineRule="auto"/>
        <w:rPr>
          <w:sz w:val="20"/>
          <w:szCs w:val="20"/>
          <w:color w:val="auto"/>
        </w:rPr>
      </w:pPr>
      <w:r>
        <w:rPr>
          <w:rFonts w:ascii="Arial" w:cs="Arial" w:eastAsia="Arial" w:hAnsi="Arial"/>
          <w:sz w:val="19"/>
          <w:szCs w:val="19"/>
          <w:b w:val="1"/>
          <w:bCs w:val="1"/>
          <w:i w:val="1"/>
          <w:iCs w:val="1"/>
          <w:color w:val="auto"/>
        </w:rPr>
        <w:t>Safety-Kleen Oil</w:t>
      </w:r>
      <w:r>
        <w:rPr>
          <w:rFonts w:ascii="Arial" w:cs="Arial" w:eastAsia="Arial" w:hAnsi="Arial"/>
          <w:sz w:val="19"/>
          <w:szCs w:val="19"/>
          <w:color w:val="auto"/>
        </w:rPr>
        <w:t>—Safety-Kleen Oil related sales contribute to the revenues of the SKSS segment. These revenues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generated from bulk sales of high-quality base and blended lubricating oils to many industries, including major oil brands, lubricant blenders and manufacturers, blended lubricant distributors and government agencies. The business also sells recycled fuel oil to asphalt plants, industrial plants and pulp and paper companies. The used oil is also processed into vacuum gas oil which can be further re-refined into lubricant base oils or sold directly into the marine diesel oil fuel market. By-products coming off the refinery are a mixture of light end distillates and asphalt flux that are sold into various markets. Revenue for oil products is recognized at a point in time, upon the transfer of control. Generally, control transfers when the products are delivered to the customer.</w:t>
      </w:r>
    </w:p>
    <w:p>
      <w:pPr>
        <w:spacing w:after="0" w:line="115" w:lineRule="exact"/>
        <w:rPr>
          <w:sz w:val="20"/>
          <w:szCs w:val="20"/>
          <w:color w:val="auto"/>
        </w:rPr>
      </w:pPr>
    </w:p>
    <w:p>
      <w:pPr>
        <w:ind w:right="20" w:firstLine="709"/>
        <w:spacing w:after="0" w:line="276" w:lineRule="auto"/>
        <w:rPr>
          <w:sz w:val="20"/>
          <w:szCs w:val="20"/>
          <w:color w:val="auto"/>
        </w:rPr>
      </w:pPr>
      <w:r>
        <w:rPr>
          <w:rFonts w:ascii="Arial" w:cs="Arial" w:eastAsia="Arial" w:hAnsi="Arial"/>
          <w:sz w:val="20"/>
          <w:szCs w:val="20"/>
          <w:color w:val="auto"/>
        </w:rPr>
        <w:t>The following tables present the Company’s third-party revenue disaggregated by source of revenue and geography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6"/>
                <w:szCs w:val="16"/>
                <w:b w:val="1"/>
                <w:bCs w:val="1"/>
                <w:color w:val="auto"/>
                <w:w w:val="91"/>
              </w:rPr>
              <w:t>For the year ended December 31, 2024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center"/>
              <w:ind w:right="105"/>
              <w:spacing w:after="0"/>
              <w:rPr>
                <w:sz w:val="20"/>
                <w:szCs w:val="20"/>
                <w:color w:val="auto"/>
              </w:rPr>
            </w:pPr>
            <w:r>
              <w:rPr>
                <w:rFonts w:ascii="Arial" w:cs="Arial" w:eastAsia="Arial" w:hAnsi="Arial"/>
                <w:sz w:val="16"/>
                <w:szCs w:val="16"/>
                <w:b w:val="1"/>
                <w:bCs w:val="1"/>
                <w:color w:val="auto"/>
                <w:w w:val="89"/>
              </w:rPr>
              <w:t>Environmental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28"/>
              <w:spacing w:after="0"/>
              <w:rPr>
                <w:sz w:val="20"/>
                <w:szCs w:val="20"/>
                <w:color w:val="auto"/>
              </w:rPr>
            </w:pPr>
            <w:r>
              <w:rPr>
                <w:rFonts w:ascii="Arial" w:cs="Arial" w:eastAsia="Arial" w:hAnsi="Arial"/>
                <w:sz w:val="16"/>
                <w:szCs w:val="16"/>
                <w:b w:val="1"/>
                <w:bCs w:val="1"/>
                <w:color w:val="auto"/>
                <w:w w:val="88"/>
              </w:rPr>
              <w:t>Safety-Kleen</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28"/>
              <w:spacing w:after="0" w:line="158" w:lineRule="exact"/>
              <w:rPr>
                <w:sz w:val="20"/>
                <w:szCs w:val="20"/>
                <w:color w:val="auto"/>
              </w:rPr>
            </w:pPr>
            <w:r>
              <w:rPr>
                <w:rFonts w:ascii="Arial" w:cs="Arial" w:eastAsia="Arial" w:hAnsi="Arial"/>
                <w:sz w:val="16"/>
                <w:szCs w:val="16"/>
                <w:b w:val="1"/>
                <w:bCs w:val="1"/>
                <w:color w:val="auto"/>
                <w:w w:val="90"/>
              </w:rPr>
              <w:t>Sustainability</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right"/>
              <w:ind w:right="323"/>
              <w:spacing w:after="0"/>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ind w:right="52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60" w:type="dxa"/>
            <w:vAlign w:val="bottom"/>
            <w:tcBorders>
              <w:bottom w:val="single" w:sz="8" w:color="E6E6E6"/>
            </w:tcBorders>
          </w:tcPr>
          <w:p>
            <w:pPr>
              <w:spacing w:after="0"/>
              <w:rPr>
                <w:sz w:val="18"/>
                <w:szCs w:val="18"/>
                <w:color w:val="auto"/>
              </w:rPr>
            </w:pPr>
          </w:p>
        </w:tc>
        <w:tc>
          <w:tcPr>
            <w:tcW w:w="1640" w:type="dxa"/>
            <w:vAlign w:val="bottom"/>
            <w:tcBorders>
              <w:bottom w:val="single" w:sz="8" w:color="E6E6E6"/>
            </w:tcBorders>
          </w:tcPr>
          <w:p>
            <w:pPr>
              <w:spacing w:after="0"/>
              <w:rPr>
                <w:sz w:val="18"/>
                <w:szCs w:val="18"/>
                <w:color w:val="auto"/>
              </w:rPr>
            </w:pPr>
          </w:p>
        </w:tc>
        <w:tc>
          <w:tcPr>
            <w:tcW w:w="1020" w:type="dxa"/>
            <w:vAlign w:val="bottom"/>
            <w:tcBorders>
              <w:bottom w:val="single" w:sz="8" w:color="E6E6E6"/>
            </w:tcBorders>
          </w:tcPr>
          <w:p>
            <w:pPr>
              <w:spacing w:after="0"/>
              <w:rPr>
                <w:sz w:val="18"/>
                <w:szCs w:val="18"/>
                <w:color w:val="auto"/>
              </w:rPr>
            </w:pPr>
          </w:p>
        </w:tc>
        <w:tc>
          <w:tcPr>
            <w:tcW w:w="100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05"/>
              <w:spacing w:after="0"/>
              <w:rPr>
                <w:sz w:val="20"/>
                <w:szCs w:val="20"/>
                <w:color w:val="auto"/>
              </w:rPr>
            </w:pPr>
            <w:r>
              <w:rPr>
                <w:rFonts w:ascii="Arial" w:cs="Arial" w:eastAsia="Arial" w:hAnsi="Arial"/>
                <w:sz w:val="16"/>
                <w:szCs w:val="16"/>
                <w:b w:val="1"/>
                <w:bCs w:val="1"/>
                <w:color w:val="auto"/>
                <w:w w:val="85"/>
              </w:rPr>
              <w:t>Services</w:t>
            </w: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28"/>
              <w:spacing w:after="0"/>
              <w:rPr>
                <w:sz w:val="20"/>
                <w:szCs w:val="20"/>
                <w:color w:val="auto"/>
              </w:rPr>
            </w:pPr>
            <w:r>
              <w:rPr>
                <w:rFonts w:ascii="Arial" w:cs="Arial" w:eastAsia="Arial" w:hAnsi="Arial"/>
                <w:sz w:val="16"/>
                <w:szCs w:val="16"/>
                <w:b w:val="1"/>
                <w:bCs w:val="1"/>
                <w:color w:val="auto"/>
                <w:w w:val="84"/>
              </w:rPr>
              <w:t>Solutions</w:t>
            </w:r>
          </w:p>
        </w:tc>
        <w:tc>
          <w:tcPr>
            <w:tcW w:w="8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 w:type="dxa"/>
            <w:vAlign w:val="bottom"/>
            <w:tcBorders>
              <w:bottom w:val="single" w:sz="8" w:color="E6E6E6"/>
            </w:tcBorders>
            <w:shd w:val="clear" w:color="auto" w:fill="E6E6E6"/>
          </w:tcPr>
          <w:p>
            <w:pPr>
              <w:spacing w:after="0"/>
              <w:rPr>
                <w:sz w:val="21"/>
                <w:szCs w:val="21"/>
                <w:color w:val="auto"/>
              </w:rPr>
            </w:pPr>
          </w:p>
        </w:tc>
        <w:tc>
          <w:tcPr>
            <w:tcW w:w="2660" w:type="dxa"/>
            <w:vAlign w:val="bottom"/>
            <w:tcBorders>
              <w:bottom w:val="single" w:sz="8" w:color="auto"/>
            </w:tcBorders>
            <w:gridSpan w:val="2"/>
            <w:shd w:val="clear" w:color="auto" w:fill="E6E6E6"/>
          </w:tcPr>
          <w:p>
            <w:pPr>
              <w:spacing w:after="0" w:line="215" w:lineRule="exact"/>
              <w:rPr>
                <w:sz w:val="20"/>
                <w:szCs w:val="20"/>
                <w:color w:val="auto"/>
              </w:rPr>
            </w:pPr>
            <w:r>
              <w:rPr>
                <w:rFonts w:ascii="Arial" w:cs="Arial" w:eastAsia="Arial" w:hAnsi="Arial"/>
                <w:sz w:val="20"/>
                <w:szCs w:val="20"/>
                <w:b w:val="1"/>
                <w:bCs w:val="1"/>
                <w:color w:val="auto"/>
                <w:w w:val="91"/>
              </w:rPr>
              <w:t>Primary Geographical Markets</w:t>
            </w:r>
          </w:p>
        </w:tc>
        <w:tc>
          <w:tcPr>
            <w:tcW w:w="100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E6E6E6"/>
            </w:tcBorders>
            <w:shd w:val="clear" w:color="auto" w:fill="E6E6E6"/>
          </w:tcPr>
          <w:p>
            <w:pPr>
              <w:spacing w:after="0"/>
              <w:rPr>
                <w:sz w:val="21"/>
                <w:szCs w:val="21"/>
                <w:color w:val="auto"/>
              </w:rPr>
            </w:pPr>
          </w:p>
        </w:tc>
        <w:tc>
          <w:tcPr>
            <w:tcW w:w="1280" w:type="dxa"/>
            <w:vAlign w:val="bottom"/>
            <w:tcBorders>
              <w:bottom w:val="single" w:sz="8" w:color="E6E6E6"/>
            </w:tcBorders>
            <w:shd w:val="clear" w:color="auto" w:fill="E6E6E6"/>
          </w:tcPr>
          <w:p>
            <w:pPr>
              <w:spacing w:after="0"/>
              <w:rPr>
                <w:sz w:val="21"/>
                <w:szCs w:val="21"/>
                <w:color w:val="auto"/>
              </w:rPr>
            </w:pPr>
          </w:p>
        </w:tc>
        <w:tc>
          <w:tcPr>
            <w:tcW w:w="8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E6E6E6"/>
            </w:tcBorders>
            <w:shd w:val="clear" w:color="auto" w:fill="E6E6E6"/>
          </w:tcPr>
          <w:p>
            <w:pPr>
              <w:spacing w:after="0"/>
              <w:rPr>
                <w:sz w:val="21"/>
                <w:szCs w:val="21"/>
                <w:color w:val="auto"/>
              </w:rPr>
            </w:pPr>
          </w:p>
        </w:tc>
        <w:tc>
          <w:tcPr>
            <w:tcW w:w="1320" w:type="dxa"/>
            <w:vAlign w:val="bottom"/>
            <w:tcBorders>
              <w:bottom w:val="single" w:sz="8" w:color="E6E6E6"/>
            </w:tcBorders>
            <w:shd w:val="clear" w:color="auto" w:fill="E6E6E6"/>
          </w:tcPr>
          <w:p>
            <w:pPr>
              <w:spacing w:after="0"/>
              <w:rPr>
                <w:sz w:val="21"/>
                <w:szCs w:val="21"/>
                <w:color w:val="auto"/>
              </w:rPr>
            </w:pPr>
          </w:p>
        </w:tc>
        <w:tc>
          <w:tcPr>
            <w:tcW w:w="8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E6E6E6"/>
            </w:tcBorders>
            <w:shd w:val="clear" w:color="auto" w:fill="E6E6E6"/>
          </w:tcPr>
          <w:p>
            <w:pPr>
              <w:spacing w:after="0"/>
              <w:rPr>
                <w:sz w:val="21"/>
                <w:szCs w:val="21"/>
                <w:color w:val="auto"/>
              </w:rPr>
            </w:pPr>
          </w:p>
        </w:tc>
        <w:tc>
          <w:tcPr>
            <w:tcW w:w="1240" w:type="dxa"/>
            <w:vAlign w:val="bottom"/>
            <w:tcBorders>
              <w:bottom w:val="single" w:sz="8" w:color="E6E6E6"/>
            </w:tcBorders>
            <w:shd w:val="clear" w:color="auto" w:fill="E6E6E6"/>
          </w:tcPr>
          <w:p>
            <w:pPr>
              <w:spacing w:after="0"/>
              <w:rPr>
                <w:sz w:val="21"/>
                <w:szCs w:val="21"/>
                <w:color w:val="auto"/>
              </w:rPr>
            </w:pPr>
          </w:p>
        </w:tc>
        <w:tc>
          <w:tcPr>
            <w:tcW w:w="120" w:type="dxa"/>
            <w:vAlign w:val="bottom"/>
            <w:tcBorders>
              <w:bottom w:val="single" w:sz="8" w:color="E6E6E6"/>
            </w:tcBorders>
            <w:shd w:val="clear" w:color="auto" w:fill="E6E6E6"/>
          </w:tcPr>
          <w:p>
            <w:pPr>
              <w:spacing w:after="0"/>
              <w:rPr>
                <w:sz w:val="21"/>
                <w:szCs w:val="21"/>
                <w:color w:val="auto"/>
              </w:rPr>
            </w:pPr>
          </w:p>
        </w:tc>
        <w:tc>
          <w:tcPr>
            <w:tcW w:w="380" w:type="dxa"/>
            <w:vAlign w:val="bottom"/>
            <w:tcBorders>
              <w:bottom w:val="single" w:sz="8" w:color="E6E6E6"/>
            </w:tcBorders>
            <w:shd w:val="clear" w:color="auto" w:fill="E6E6E6"/>
          </w:tcPr>
          <w:p>
            <w:pPr>
              <w:spacing w:after="0"/>
              <w:rPr>
                <w:sz w:val="21"/>
                <w:szCs w:val="21"/>
                <w:color w:val="auto"/>
              </w:rPr>
            </w:pPr>
          </w:p>
        </w:tc>
        <w:tc>
          <w:tcPr>
            <w:tcW w:w="120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20"/>
                <w:szCs w:val="20"/>
                <w:color w:val="auto"/>
              </w:rPr>
              <w:t>United States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4,510,845</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841,171</w:t>
            </w:r>
          </w:p>
        </w:tc>
        <w:tc>
          <w:tcPr>
            <w:tcW w:w="3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407</w:t>
            </w:r>
          </w:p>
        </w:tc>
        <w:tc>
          <w:tcPr>
            <w:tcW w:w="50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5,352,423</w:t>
            </w:r>
          </w:p>
        </w:tc>
        <w:tc>
          <w:tcPr>
            <w:tcW w:w="0" w:type="dxa"/>
            <w:vAlign w:val="bottom"/>
          </w:tcPr>
          <w:p>
            <w:pPr>
              <w:spacing w:after="0"/>
              <w:rPr>
                <w:sz w:val="1"/>
                <w:szCs w:val="1"/>
                <w:color w:val="auto"/>
              </w:rPr>
            </w:pPr>
          </w:p>
        </w:tc>
      </w:tr>
      <w:tr>
        <w:trPr>
          <w:trHeight w:val="296"/>
        </w:trPr>
        <w:tc>
          <w:tcPr>
            <w:tcW w:w="60" w:type="dxa"/>
            <w:vAlign w:val="bottom"/>
            <w:tcBorders>
              <w:bottom w:val="single" w:sz="8" w:color="E6E6E6"/>
            </w:tcBorders>
            <w:shd w:val="clear" w:color="auto" w:fill="E6E6E6"/>
          </w:tcPr>
          <w:p>
            <w:pPr>
              <w:spacing w:after="0"/>
              <w:rPr>
                <w:sz w:val="24"/>
                <w:szCs w:val="24"/>
                <w:color w:val="auto"/>
              </w:rPr>
            </w:pPr>
          </w:p>
        </w:tc>
        <w:tc>
          <w:tcPr>
            <w:tcW w:w="366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20"/>
                <w:szCs w:val="20"/>
                <w:color w:val="auto"/>
              </w:rPr>
              <w:t>Canada</w:t>
            </w:r>
          </w:p>
        </w:tc>
        <w:tc>
          <w:tcPr>
            <w:tcW w:w="20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449,480</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88,049</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537,529</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3660" w:type="dxa"/>
            <w:vAlign w:val="bottom"/>
            <w:gridSpan w:val="3"/>
          </w:tcPr>
          <w:p>
            <w:pPr>
              <w:spacing w:after="0" w:line="222" w:lineRule="exact"/>
              <w:rPr>
                <w:sz w:val="20"/>
                <w:szCs w:val="20"/>
                <w:color w:val="auto"/>
              </w:rPr>
            </w:pPr>
            <w:r>
              <w:rPr>
                <w:rFonts w:ascii="Arial" w:cs="Arial" w:eastAsia="Arial" w:hAnsi="Arial"/>
                <w:sz w:val="20"/>
                <w:szCs w:val="20"/>
                <w:color w:val="auto"/>
              </w:rPr>
              <w:t>Total third-party revenues</w:t>
            </w:r>
          </w:p>
        </w:tc>
        <w:tc>
          <w:tcPr>
            <w:tcW w:w="20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222" w:lineRule="exact"/>
              <w:rPr>
                <w:sz w:val="20"/>
                <w:szCs w:val="20"/>
                <w:color w:val="auto"/>
              </w:rPr>
            </w:pPr>
            <w:r>
              <w:rPr>
                <w:rFonts w:ascii="Arial" w:cs="Arial" w:eastAsia="Arial" w:hAnsi="Arial"/>
                <w:sz w:val="20"/>
                <w:szCs w:val="20"/>
                <w:color w:val="auto"/>
              </w:rPr>
              <w:t>4,960,325</w:t>
            </w:r>
          </w:p>
        </w:tc>
        <w:tc>
          <w:tcPr>
            <w:tcW w:w="3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22" w:lineRule="exact"/>
              <w:rPr>
                <w:sz w:val="20"/>
                <w:szCs w:val="20"/>
                <w:color w:val="auto"/>
              </w:rPr>
            </w:pPr>
            <w:r>
              <w:rPr>
                <w:rFonts w:ascii="Arial" w:cs="Arial" w:eastAsia="Arial" w:hAnsi="Arial"/>
                <w:sz w:val="20"/>
                <w:szCs w:val="20"/>
                <w:color w:val="auto"/>
              </w:rPr>
              <w:t>929,220</w:t>
            </w:r>
          </w:p>
        </w:tc>
        <w:tc>
          <w:tcPr>
            <w:tcW w:w="360" w:type="dxa"/>
            <w:vAlign w:val="bottom"/>
            <w:gridSpan w:val="2"/>
          </w:tcPr>
          <w:p>
            <w:pPr>
              <w:jc w:val="right"/>
              <w:ind w:right="41"/>
              <w:spacing w:after="0" w:line="222" w:lineRule="exact"/>
              <w:rPr>
                <w:sz w:val="20"/>
                <w:szCs w:val="20"/>
                <w:color w:val="auto"/>
              </w:rPr>
            </w:pPr>
            <w:r>
              <w:rPr>
                <w:rFonts w:ascii="Arial" w:cs="Arial" w:eastAsia="Arial" w:hAnsi="Arial"/>
                <w:sz w:val="20"/>
                <w:szCs w:val="20"/>
                <w:color w:val="auto"/>
              </w:rPr>
              <w:t>$</w:t>
            </w:r>
          </w:p>
        </w:tc>
        <w:tc>
          <w:tcPr>
            <w:tcW w:w="1240" w:type="dxa"/>
            <w:vAlign w:val="bottom"/>
          </w:tcPr>
          <w:p>
            <w:pPr>
              <w:jc w:val="right"/>
              <w:spacing w:after="0" w:line="222" w:lineRule="exact"/>
              <w:rPr>
                <w:sz w:val="20"/>
                <w:szCs w:val="20"/>
                <w:color w:val="auto"/>
              </w:rPr>
            </w:pPr>
            <w:r>
              <w:rPr>
                <w:rFonts w:ascii="Arial" w:cs="Arial" w:eastAsia="Arial" w:hAnsi="Arial"/>
                <w:sz w:val="20"/>
                <w:szCs w:val="20"/>
                <w:color w:val="auto"/>
              </w:rPr>
              <w:t>407</w:t>
            </w:r>
          </w:p>
        </w:tc>
        <w:tc>
          <w:tcPr>
            <w:tcW w:w="500" w:type="dxa"/>
            <w:vAlign w:val="bottom"/>
            <w:gridSpan w:val="2"/>
          </w:tcPr>
          <w:p>
            <w:pPr>
              <w:jc w:val="right"/>
              <w:ind w:right="142"/>
              <w:spacing w:after="0" w:line="222"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22" w:lineRule="exact"/>
              <w:rPr>
                <w:sz w:val="20"/>
                <w:szCs w:val="20"/>
                <w:color w:val="auto"/>
              </w:rPr>
            </w:pPr>
            <w:r>
              <w:rPr>
                <w:rFonts w:ascii="Arial" w:cs="Arial" w:eastAsia="Arial" w:hAnsi="Arial"/>
                <w:sz w:val="20"/>
                <w:szCs w:val="20"/>
                <w:color w:val="auto"/>
              </w:rPr>
              <w:t>5,889,952</w:t>
            </w:r>
          </w:p>
        </w:tc>
        <w:tc>
          <w:tcPr>
            <w:tcW w:w="0" w:type="dxa"/>
            <w:vAlign w:val="bottom"/>
          </w:tcPr>
          <w:p>
            <w:pPr>
              <w:spacing w:after="0"/>
              <w:rPr>
                <w:sz w:val="1"/>
                <w:szCs w:val="1"/>
                <w:color w:val="auto"/>
              </w:rPr>
            </w:pPr>
          </w:p>
        </w:tc>
      </w:tr>
      <w:tr>
        <w:trPr>
          <w:trHeight w:val="251"/>
        </w:trPr>
        <w:tc>
          <w:tcPr>
            <w:tcW w:w="60" w:type="dxa"/>
            <w:vAlign w:val="bottom"/>
            <w:tcBorders>
              <w:top w:val="single" w:sz="8" w:color="E6E6E6"/>
            </w:tcBorders>
            <w:shd w:val="clear" w:color="auto" w:fill="E6E6E6"/>
          </w:tcPr>
          <w:p>
            <w:pPr>
              <w:spacing w:after="0"/>
              <w:rPr>
                <w:sz w:val="21"/>
                <w:szCs w:val="21"/>
                <w:color w:val="auto"/>
              </w:rPr>
            </w:pPr>
          </w:p>
        </w:tc>
        <w:tc>
          <w:tcPr>
            <w:tcW w:w="1640" w:type="dxa"/>
            <w:vAlign w:val="bottom"/>
            <w:tcBorders>
              <w:top w:val="single" w:sz="8" w:color="E6E6E6"/>
            </w:tcBorders>
            <w:shd w:val="clear" w:color="auto" w:fill="E6E6E6"/>
          </w:tcPr>
          <w:p>
            <w:pPr>
              <w:spacing w:after="0"/>
              <w:rPr>
                <w:sz w:val="21"/>
                <w:szCs w:val="21"/>
                <w:color w:val="auto"/>
              </w:rPr>
            </w:pPr>
          </w:p>
        </w:tc>
        <w:tc>
          <w:tcPr>
            <w:tcW w:w="1020" w:type="dxa"/>
            <w:vAlign w:val="bottom"/>
            <w:tcBorders>
              <w:top w:val="single" w:sz="8" w:color="E6E6E6"/>
            </w:tcBorders>
            <w:shd w:val="clear" w:color="auto" w:fill="E6E6E6"/>
          </w:tcPr>
          <w:p>
            <w:pPr>
              <w:spacing w:after="0"/>
              <w:rPr>
                <w:sz w:val="21"/>
                <w:szCs w:val="21"/>
                <w:color w:val="auto"/>
              </w:rPr>
            </w:pPr>
          </w:p>
        </w:tc>
        <w:tc>
          <w:tcPr>
            <w:tcW w:w="1000" w:type="dxa"/>
            <w:vAlign w:val="bottom"/>
            <w:tcBorders>
              <w:top w:val="single" w:sz="8" w:color="E6E6E6"/>
            </w:tcBorders>
            <w:shd w:val="clear" w:color="auto" w:fill="E6E6E6"/>
          </w:tcPr>
          <w:p>
            <w:pPr>
              <w:spacing w:after="0"/>
              <w:rPr>
                <w:sz w:val="21"/>
                <w:szCs w:val="21"/>
                <w:color w:val="auto"/>
              </w:rPr>
            </w:pPr>
          </w:p>
        </w:tc>
        <w:tc>
          <w:tcPr>
            <w:tcW w:w="200" w:type="dxa"/>
            <w:vAlign w:val="bottom"/>
            <w:tcBorders>
              <w:top w:val="single" w:sz="8" w:color="auto"/>
            </w:tcBorders>
            <w:shd w:val="clear" w:color="auto" w:fill="E6E6E6"/>
          </w:tcPr>
          <w:p>
            <w:pPr>
              <w:spacing w:after="0"/>
              <w:rPr>
                <w:sz w:val="21"/>
                <w:szCs w:val="21"/>
                <w:color w:val="auto"/>
              </w:rPr>
            </w:pPr>
          </w:p>
        </w:tc>
        <w:tc>
          <w:tcPr>
            <w:tcW w:w="128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220" w:type="dxa"/>
            <w:vAlign w:val="bottom"/>
            <w:tcBorders>
              <w:top w:val="single" w:sz="8" w:color="auto"/>
            </w:tcBorders>
            <w:shd w:val="clear" w:color="auto" w:fill="E6E6E6"/>
          </w:tcPr>
          <w:p>
            <w:pPr>
              <w:spacing w:after="0"/>
              <w:rPr>
                <w:sz w:val="21"/>
                <w:szCs w:val="21"/>
                <w:color w:val="auto"/>
              </w:rPr>
            </w:pPr>
          </w:p>
        </w:tc>
        <w:tc>
          <w:tcPr>
            <w:tcW w:w="132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280" w:type="dxa"/>
            <w:vAlign w:val="bottom"/>
            <w:tcBorders>
              <w:top w:val="single" w:sz="8" w:color="auto"/>
            </w:tcBorders>
            <w:shd w:val="clear" w:color="auto" w:fill="E6E6E6"/>
          </w:tcPr>
          <w:p>
            <w:pPr>
              <w:spacing w:after="0"/>
              <w:rPr>
                <w:sz w:val="21"/>
                <w:szCs w:val="21"/>
                <w:color w:val="auto"/>
              </w:rPr>
            </w:pPr>
          </w:p>
        </w:tc>
        <w:tc>
          <w:tcPr>
            <w:tcW w:w="1240" w:type="dxa"/>
            <w:vAlign w:val="bottom"/>
            <w:tcBorders>
              <w:top w:val="single" w:sz="8" w:color="auto"/>
            </w:tcBorders>
            <w:shd w:val="clear" w:color="auto" w:fill="E6E6E6"/>
          </w:tcPr>
          <w:p>
            <w:pPr>
              <w:spacing w:after="0"/>
              <w:rPr>
                <w:sz w:val="21"/>
                <w:szCs w:val="21"/>
                <w:color w:val="auto"/>
              </w:rPr>
            </w:pPr>
          </w:p>
        </w:tc>
        <w:tc>
          <w:tcPr>
            <w:tcW w:w="120" w:type="dxa"/>
            <w:vAlign w:val="bottom"/>
            <w:tcBorders>
              <w:top w:val="single" w:sz="8" w:color="E6E6E6"/>
            </w:tcBorders>
            <w:shd w:val="clear" w:color="auto" w:fill="E6E6E6"/>
          </w:tcPr>
          <w:p>
            <w:pPr>
              <w:spacing w:after="0"/>
              <w:rPr>
                <w:sz w:val="21"/>
                <w:szCs w:val="21"/>
                <w:color w:val="auto"/>
              </w:rPr>
            </w:pPr>
          </w:p>
        </w:tc>
        <w:tc>
          <w:tcPr>
            <w:tcW w:w="380" w:type="dxa"/>
            <w:vAlign w:val="bottom"/>
            <w:tcBorders>
              <w:top w:val="single" w:sz="8" w:color="auto"/>
            </w:tcBorders>
            <w:shd w:val="clear" w:color="auto" w:fill="E6E6E6"/>
          </w:tcPr>
          <w:p>
            <w:pPr>
              <w:spacing w:after="0"/>
              <w:rPr>
                <w:sz w:val="21"/>
                <w:szCs w:val="21"/>
                <w:color w:val="auto"/>
              </w:rPr>
            </w:pPr>
          </w:p>
        </w:tc>
        <w:tc>
          <w:tcPr>
            <w:tcW w:w="120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660" w:type="dxa"/>
            <w:vAlign w:val="bottom"/>
            <w:gridSpan w:val="3"/>
          </w:tcPr>
          <w:p>
            <w:pPr>
              <w:spacing w:after="0" w:line="226" w:lineRule="exact"/>
              <w:rPr>
                <w:sz w:val="20"/>
                <w:szCs w:val="20"/>
                <w:color w:val="auto"/>
              </w:rPr>
            </w:pPr>
            <w:r>
              <w:rPr>
                <w:rFonts w:ascii="Arial" w:cs="Arial" w:eastAsia="Arial" w:hAnsi="Arial"/>
                <w:sz w:val="20"/>
                <w:szCs w:val="20"/>
                <w:b w:val="1"/>
                <w:bCs w:val="1"/>
                <w:color w:val="auto"/>
              </w:rPr>
              <w:t>Sources of Revenue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1"/>
        </w:trPr>
        <w:tc>
          <w:tcPr>
            <w:tcW w:w="60" w:type="dxa"/>
            <w:vAlign w:val="bottom"/>
            <w:shd w:val="clear" w:color="auto" w:fill="E6E6E6"/>
          </w:tcPr>
          <w:p>
            <w:pPr>
              <w:spacing w:after="0"/>
              <w:rPr>
                <w:sz w:val="24"/>
                <w:szCs w:val="24"/>
                <w:color w:val="auto"/>
              </w:rPr>
            </w:pPr>
          </w:p>
        </w:tc>
        <w:tc>
          <w:tcPr>
            <w:tcW w:w="3660" w:type="dxa"/>
            <w:vAlign w:val="bottom"/>
            <w:gridSpan w:val="3"/>
            <w:shd w:val="clear" w:color="auto" w:fill="E6E6E6"/>
          </w:tcPr>
          <w:p>
            <w:pPr>
              <w:spacing w:after="0"/>
              <w:rPr>
                <w:sz w:val="20"/>
                <w:szCs w:val="20"/>
                <w:color w:val="auto"/>
              </w:rPr>
            </w:pPr>
            <w:r>
              <w:rPr>
                <w:rFonts w:ascii="Arial" w:cs="Arial" w:eastAsia="Arial" w:hAnsi="Arial"/>
                <w:sz w:val="20"/>
                <w:szCs w:val="20"/>
                <w:color w:val="auto"/>
              </w:rPr>
              <w:t>Technical Services</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1,733,550</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50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1,733,550</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20"/>
                <w:szCs w:val="20"/>
                <w:color w:val="auto"/>
              </w:rPr>
              <w:t>Industrial Services and Other</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1,377,502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407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1,377,909</w:t>
            </w:r>
          </w:p>
        </w:tc>
        <w:tc>
          <w:tcPr>
            <w:tcW w:w="0" w:type="dxa"/>
            <w:vAlign w:val="bottom"/>
          </w:tcPr>
          <w:p>
            <w:pPr>
              <w:spacing w:after="0"/>
              <w:rPr>
                <w:sz w:val="1"/>
                <w:szCs w:val="1"/>
                <w:color w:val="auto"/>
              </w:rPr>
            </w:pPr>
          </w:p>
        </w:tc>
      </w:tr>
      <w:tr>
        <w:trPr>
          <w:trHeight w:val="287"/>
        </w:trPr>
        <w:tc>
          <w:tcPr>
            <w:tcW w:w="60" w:type="dxa"/>
            <w:vAlign w:val="bottom"/>
            <w:shd w:val="clear" w:color="auto" w:fill="E6E6E6"/>
          </w:tcPr>
          <w:p>
            <w:pPr>
              <w:spacing w:after="0"/>
              <w:rPr>
                <w:sz w:val="24"/>
                <w:szCs w:val="24"/>
                <w:color w:val="auto"/>
              </w:rPr>
            </w:pPr>
          </w:p>
        </w:tc>
        <w:tc>
          <w:tcPr>
            <w:tcW w:w="3660" w:type="dxa"/>
            <w:vAlign w:val="bottom"/>
            <w:gridSpan w:val="3"/>
            <w:shd w:val="clear" w:color="auto" w:fill="E6E6E6"/>
          </w:tcPr>
          <w:p>
            <w:pPr>
              <w:spacing w:after="0"/>
              <w:rPr>
                <w:sz w:val="20"/>
                <w:szCs w:val="20"/>
                <w:color w:val="auto"/>
              </w:rPr>
            </w:pPr>
            <w:r>
              <w:rPr>
                <w:rFonts w:ascii="Arial" w:cs="Arial" w:eastAsia="Arial" w:hAnsi="Arial"/>
                <w:sz w:val="20"/>
                <w:szCs w:val="20"/>
                <w:color w:val="auto"/>
                <w:w w:val="99"/>
              </w:rPr>
              <w:t>Field and Emergency Response Services</w:t>
            </w:r>
          </w:p>
        </w:tc>
        <w:tc>
          <w:tcPr>
            <w:tcW w:w="20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895,120</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895,120</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20"/>
                <w:szCs w:val="20"/>
                <w:color w:val="auto"/>
              </w:rPr>
              <w:t>Safety-Kleen Environmental Services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954,153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229,730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1,183,883</w:t>
            </w:r>
          </w:p>
        </w:tc>
        <w:tc>
          <w:tcPr>
            <w:tcW w:w="0" w:type="dxa"/>
            <w:vAlign w:val="bottom"/>
          </w:tcPr>
          <w:p>
            <w:pPr>
              <w:spacing w:after="0"/>
              <w:rPr>
                <w:sz w:val="1"/>
                <w:szCs w:val="1"/>
                <w:color w:val="auto"/>
              </w:rPr>
            </w:pPr>
          </w:p>
        </w:tc>
      </w:tr>
      <w:tr>
        <w:trPr>
          <w:trHeight w:val="296"/>
        </w:trPr>
        <w:tc>
          <w:tcPr>
            <w:tcW w:w="60" w:type="dxa"/>
            <w:vAlign w:val="bottom"/>
            <w:tcBorders>
              <w:bottom w:val="single" w:sz="8" w:color="E6E6E6"/>
            </w:tcBorders>
            <w:shd w:val="clear" w:color="auto" w:fill="E6E6E6"/>
          </w:tcPr>
          <w:p>
            <w:pPr>
              <w:spacing w:after="0"/>
              <w:rPr>
                <w:sz w:val="24"/>
                <w:szCs w:val="24"/>
                <w:color w:val="auto"/>
              </w:rPr>
            </w:pPr>
          </w:p>
        </w:tc>
        <w:tc>
          <w:tcPr>
            <w:tcW w:w="366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20"/>
                <w:szCs w:val="20"/>
                <w:color w:val="auto"/>
              </w:rPr>
              <w:t>Safety-Kleen Oil</w:t>
            </w:r>
          </w:p>
        </w:tc>
        <w:tc>
          <w:tcPr>
            <w:tcW w:w="20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699,490</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699,490</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3660" w:type="dxa"/>
            <w:vAlign w:val="bottom"/>
            <w:gridSpan w:val="3"/>
          </w:tcPr>
          <w:p>
            <w:pPr>
              <w:spacing w:after="0" w:line="222" w:lineRule="exact"/>
              <w:rPr>
                <w:sz w:val="20"/>
                <w:szCs w:val="20"/>
                <w:color w:val="auto"/>
              </w:rPr>
            </w:pPr>
            <w:r>
              <w:rPr>
                <w:rFonts w:ascii="Arial" w:cs="Arial" w:eastAsia="Arial" w:hAnsi="Arial"/>
                <w:sz w:val="20"/>
                <w:szCs w:val="20"/>
                <w:color w:val="auto"/>
              </w:rPr>
              <w:t>Total third-party revenues</w:t>
            </w:r>
          </w:p>
        </w:tc>
        <w:tc>
          <w:tcPr>
            <w:tcW w:w="20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4,960,325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929,220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41"/>
              <w:spacing w:after="0" w:line="222"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407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42"/>
              <w:spacing w:after="0" w:line="222"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5,889,952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6"/>
                <w:szCs w:val="16"/>
                <w:b w:val="1"/>
                <w:bCs w:val="1"/>
                <w:color w:val="auto"/>
                <w:w w:val="91"/>
              </w:rPr>
              <w:t>For the year ended December 31, 2023</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center"/>
              <w:ind w:right="105"/>
              <w:spacing w:after="0"/>
              <w:rPr>
                <w:sz w:val="20"/>
                <w:szCs w:val="20"/>
                <w:color w:val="auto"/>
              </w:rPr>
            </w:pPr>
            <w:r>
              <w:rPr>
                <w:rFonts w:ascii="Arial" w:cs="Arial" w:eastAsia="Arial" w:hAnsi="Arial"/>
                <w:sz w:val="16"/>
                <w:szCs w:val="16"/>
                <w:b w:val="1"/>
                <w:bCs w:val="1"/>
                <w:color w:val="auto"/>
                <w:w w:val="89"/>
              </w:rPr>
              <w:t>Environmental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28"/>
              <w:spacing w:after="0"/>
              <w:rPr>
                <w:sz w:val="20"/>
                <w:szCs w:val="20"/>
                <w:color w:val="auto"/>
              </w:rPr>
            </w:pPr>
            <w:r>
              <w:rPr>
                <w:rFonts w:ascii="Arial" w:cs="Arial" w:eastAsia="Arial" w:hAnsi="Arial"/>
                <w:sz w:val="16"/>
                <w:szCs w:val="16"/>
                <w:b w:val="1"/>
                <w:bCs w:val="1"/>
                <w:color w:val="auto"/>
                <w:w w:val="88"/>
              </w:rPr>
              <w:t>Safety-Kleen</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28"/>
              <w:spacing w:after="0" w:line="158" w:lineRule="exact"/>
              <w:rPr>
                <w:sz w:val="20"/>
                <w:szCs w:val="20"/>
                <w:color w:val="auto"/>
              </w:rPr>
            </w:pPr>
            <w:r>
              <w:rPr>
                <w:rFonts w:ascii="Arial" w:cs="Arial" w:eastAsia="Arial" w:hAnsi="Arial"/>
                <w:sz w:val="16"/>
                <w:szCs w:val="16"/>
                <w:b w:val="1"/>
                <w:bCs w:val="1"/>
                <w:color w:val="auto"/>
                <w:w w:val="90"/>
              </w:rPr>
              <w:t>Sustainability</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right"/>
              <w:ind w:right="323"/>
              <w:spacing w:after="0"/>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ind w:right="52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60" w:type="dxa"/>
            <w:vAlign w:val="bottom"/>
            <w:tcBorders>
              <w:bottom w:val="single" w:sz="8" w:color="E6E6E6"/>
            </w:tcBorders>
          </w:tcPr>
          <w:p>
            <w:pPr>
              <w:spacing w:after="0"/>
              <w:rPr>
                <w:sz w:val="18"/>
                <w:szCs w:val="18"/>
                <w:color w:val="auto"/>
              </w:rPr>
            </w:pPr>
          </w:p>
        </w:tc>
        <w:tc>
          <w:tcPr>
            <w:tcW w:w="1640" w:type="dxa"/>
            <w:vAlign w:val="bottom"/>
            <w:tcBorders>
              <w:bottom w:val="single" w:sz="8" w:color="E6E6E6"/>
            </w:tcBorders>
          </w:tcPr>
          <w:p>
            <w:pPr>
              <w:spacing w:after="0"/>
              <w:rPr>
                <w:sz w:val="18"/>
                <w:szCs w:val="18"/>
                <w:color w:val="auto"/>
              </w:rPr>
            </w:pPr>
          </w:p>
        </w:tc>
        <w:tc>
          <w:tcPr>
            <w:tcW w:w="1020" w:type="dxa"/>
            <w:vAlign w:val="bottom"/>
            <w:tcBorders>
              <w:bottom w:val="single" w:sz="8" w:color="E6E6E6"/>
            </w:tcBorders>
          </w:tcPr>
          <w:p>
            <w:pPr>
              <w:spacing w:after="0"/>
              <w:rPr>
                <w:sz w:val="18"/>
                <w:szCs w:val="18"/>
                <w:color w:val="auto"/>
              </w:rPr>
            </w:pPr>
          </w:p>
        </w:tc>
        <w:tc>
          <w:tcPr>
            <w:tcW w:w="100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05"/>
              <w:spacing w:after="0"/>
              <w:rPr>
                <w:sz w:val="20"/>
                <w:szCs w:val="20"/>
                <w:color w:val="auto"/>
              </w:rPr>
            </w:pPr>
            <w:r>
              <w:rPr>
                <w:rFonts w:ascii="Arial" w:cs="Arial" w:eastAsia="Arial" w:hAnsi="Arial"/>
                <w:sz w:val="16"/>
                <w:szCs w:val="16"/>
                <w:b w:val="1"/>
                <w:bCs w:val="1"/>
                <w:color w:val="auto"/>
                <w:w w:val="85"/>
              </w:rPr>
              <w:t>Services</w:t>
            </w: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28"/>
              <w:spacing w:after="0"/>
              <w:rPr>
                <w:sz w:val="20"/>
                <w:szCs w:val="20"/>
                <w:color w:val="auto"/>
              </w:rPr>
            </w:pPr>
            <w:r>
              <w:rPr>
                <w:rFonts w:ascii="Arial" w:cs="Arial" w:eastAsia="Arial" w:hAnsi="Arial"/>
                <w:sz w:val="16"/>
                <w:szCs w:val="16"/>
                <w:b w:val="1"/>
                <w:bCs w:val="1"/>
                <w:color w:val="auto"/>
                <w:w w:val="84"/>
              </w:rPr>
              <w:t>Solutions</w:t>
            </w:r>
          </w:p>
        </w:tc>
        <w:tc>
          <w:tcPr>
            <w:tcW w:w="8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 w:type="dxa"/>
            <w:vAlign w:val="bottom"/>
            <w:tcBorders>
              <w:bottom w:val="single" w:sz="8" w:color="E6E6E6"/>
            </w:tcBorders>
            <w:shd w:val="clear" w:color="auto" w:fill="E6E6E6"/>
          </w:tcPr>
          <w:p>
            <w:pPr>
              <w:spacing w:after="0"/>
              <w:rPr>
                <w:sz w:val="21"/>
                <w:szCs w:val="21"/>
                <w:color w:val="auto"/>
              </w:rPr>
            </w:pPr>
          </w:p>
        </w:tc>
        <w:tc>
          <w:tcPr>
            <w:tcW w:w="2660" w:type="dxa"/>
            <w:vAlign w:val="bottom"/>
            <w:tcBorders>
              <w:bottom w:val="single" w:sz="8" w:color="auto"/>
            </w:tcBorders>
            <w:gridSpan w:val="2"/>
            <w:shd w:val="clear" w:color="auto" w:fill="E6E6E6"/>
          </w:tcPr>
          <w:p>
            <w:pPr>
              <w:spacing w:after="0" w:line="215" w:lineRule="exact"/>
              <w:rPr>
                <w:sz w:val="20"/>
                <w:szCs w:val="20"/>
                <w:color w:val="auto"/>
              </w:rPr>
            </w:pPr>
            <w:r>
              <w:rPr>
                <w:rFonts w:ascii="Arial" w:cs="Arial" w:eastAsia="Arial" w:hAnsi="Arial"/>
                <w:sz w:val="20"/>
                <w:szCs w:val="20"/>
                <w:b w:val="1"/>
                <w:bCs w:val="1"/>
                <w:color w:val="auto"/>
                <w:w w:val="91"/>
              </w:rPr>
              <w:t>Primary Geographical Markets</w:t>
            </w:r>
          </w:p>
        </w:tc>
        <w:tc>
          <w:tcPr>
            <w:tcW w:w="100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E6E6E6"/>
            </w:tcBorders>
            <w:shd w:val="clear" w:color="auto" w:fill="E6E6E6"/>
          </w:tcPr>
          <w:p>
            <w:pPr>
              <w:spacing w:after="0"/>
              <w:rPr>
                <w:sz w:val="21"/>
                <w:szCs w:val="21"/>
                <w:color w:val="auto"/>
              </w:rPr>
            </w:pPr>
          </w:p>
        </w:tc>
        <w:tc>
          <w:tcPr>
            <w:tcW w:w="1280" w:type="dxa"/>
            <w:vAlign w:val="bottom"/>
            <w:tcBorders>
              <w:bottom w:val="single" w:sz="8" w:color="E6E6E6"/>
            </w:tcBorders>
            <w:shd w:val="clear" w:color="auto" w:fill="E6E6E6"/>
          </w:tcPr>
          <w:p>
            <w:pPr>
              <w:spacing w:after="0"/>
              <w:rPr>
                <w:sz w:val="21"/>
                <w:szCs w:val="21"/>
                <w:color w:val="auto"/>
              </w:rPr>
            </w:pPr>
          </w:p>
        </w:tc>
        <w:tc>
          <w:tcPr>
            <w:tcW w:w="8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E6E6E6"/>
            </w:tcBorders>
            <w:shd w:val="clear" w:color="auto" w:fill="E6E6E6"/>
          </w:tcPr>
          <w:p>
            <w:pPr>
              <w:spacing w:after="0"/>
              <w:rPr>
                <w:sz w:val="21"/>
                <w:szCs w:val="21"/>
                <w:color w:val="auto"/>
              </w:rPr>
            </w:pPr>
          </w:p>
        </w:tc>
        <w:tc>
          <w:tcPr>
            <w:tcW w:w="1320" w:type="dxa"/>
            <w:vAlign w:val="bottom"/>
            <w:tcBorders>
              <w:bottom w:val="single" w:sz="8" w:color="E6E6E6"/>
            </w:tcBorders>
            <w:shd w:val="clear" w:color="auto" w:fill="E6E6E6"/>
          </w:tcPr>
          <w:p>
            <w:pPr>
              <w:spacing w:after="0"/>
              <w:rPr>
                <w:sz w:val="21"/>
                <w:szCs w:val="21"/>
                <w:color w:val="auto"/>
              </w:rPr>
            </w:pPr>
          </w:p>
        </w:tc>
        <w:tc>
          <w:tcPr>
            <w:tcW w:w="8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E6E6E6"/>
            </w:tcBorders>
            <w:shd w:val="clear" w:color="auto" w:fill="E6E6E6"/>
          </w:tcPr>
          <w:p>
            <w:pPr>
              <w:spacing w:after="0"/>
              <w:rPr>
                <w:sz w:val="21"/>
                <w:szCs w:val="21"/>
                <w:color w:val="auto"/>
              </w:rPr>
            </w:pPr>
          </w:p>
        </w:tc>
        <w:tc>
          <w:tcPr>
            <w:tcW w:w="1240" w:type="dxa"/>
            <w:vAlign w:val="bottom"/>
            <w:tcBorders>
              <w:bottom w:val="single" w:sz="8" w:color="E6E6E6"/>
            </w:tcBorders>
            <w:shd w:val="clear" w:color="auto" w:fill="E6E6E6"/>
          </w:tcPr>
          <w:p>
            <w:pPr>
              <w:spacing w:after="0"/>
              <w:rPr>
                <w:sz w:val="21"/>
                <w:szCs w:val="21"/>
                <w:color w:val="auto"/>
              </w:rPr>
            </w:pPr>
          </w:p>
        </w:tc>
        <w:tc>
          <w:tcPr>
            <w:tcW w:w="120" w:type="dxa"/>
            <w:vAlign w:val="bottom"/>
            <w:tcBorders>
              <w:bottom w:val="single" w:sz="8" w:color="E6E6E6"/>
            </w:tcBorders>
            <w:shd w:val="clear" w:color="auto" w:fill="E6E6E6"/>
          </w:tcPr>
          <w:p>
            <w:pPr>
              <w:spacing w:after="0"/>
              <w:rPr>
                <w:sz w:val="21"/>
                <w:szCs w:val="21"/>
                <w:color w:val="auto"/>
              </w:rPr>
            </w:pPr>
          </w:p>
        </w:tc>
        <w:tc>
          <w:tcPr>
            <w:tcW w:w="380" w:type="dxa"/>
            <w:vAlign w:val="bottom"/>
            <w:tcBorders>
              <w:bottom w:val="single" w:sz="8" w:color="E6E6E6"/>
            </w:tcBorders>
            <w:shd w:val="clear" w:color="auto" w:fill="E6E6E6"/>
          </w:tcPr>
          <w:p>
            <w:pPr>
              <w:spacing w:after="0"/>
              <w:rPr>
                <w:sz w:val="21"/>
                <w:szCs w:val="21"/>
                <w:color w:val="auto"/>
              </w:rPr>
            </w:pPr>
          </w:p>
        </w:tc>
        <w:tc>
          <w:tcPr>
            <w:tcW w:w="120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20"/>
                <w:szCs w:val="20"/>
                <w:color w:val="auto"/>
              </w:rPr>
              <w:t>United States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4,022,394</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846,339</w:t>
            </w:r>
          </w:p>
        </w:tc>
        <w:tc>
          <w:tcPr>
            <w:tcW w:w="3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447</w:t>
            </w:r>
          </w:p>
        </w:tc>
        <w:tc>
          <w:tcPr>
            <w:tcW w:w="50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4,869,180</w:t>
            </w:r>
          </w:p>
        </w:tc>
        <w:tc>
          <w:tcPr>
            <w:tcW w:w="0" w:type="dxa"/>
            <w:vAlign w:val="bottom"/>
          </w:tcPr>
          <w:p>
            <w:pPr>
              <w:spacing w:after="0"/>
              <w:rPr>
                <w:sz w:val="1"/>
                <w:szCs w:val="1"/>
                <w:color w:val="auto"/>
              </w:rPr>
            </w:pPr>
          </w:p>
        </w:tc>
      </w:tr>
      <w:tr>
        <w:trPr>
          <w:trHeight w:val="296"/>
        </w:trPr>
        <w:tc>
          <w:tcPr>
            <w:tcW w:w="60" w:type="dxa"/>
            <w:vAlign w:val="bottom"/>
            <w:tcBorders>
              <w:bottom w:val="single" w:sz="8" w:color="E6E6E6"/>
            </w:tcBorders>
            <w:shd w:val="clear" w:color="auto" w:fill="E6E6E6"/>
          </w:tcPr>
          <w:p>
            <w:pPr>
              <w:spacing w:after="0"/>
              <w:rPr>
                <w:sz w:val="24"/>
                <w:szCs w:val="24"/>
                <w:color w:val="auto"/>
              </w:rPr>
            </w:pPr>
          </w:p>
        </w:tc>
        <w:tc>
          <w:tcPr>
            <w:tcW w:w="366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20"/>
                <w:szCs w:val="20"/>
                <w:color w:val="auto"/>
              </w:rPr>
              <w:t>Canada</w:t>
            </w:r>
          </w:p>
        </w:tc>
        <w:tc>
          <w:tcPr>
            <w:tcW w:w="20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447,515</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92,457</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539,972</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3660" w:type="dxa"/>
            <w:vAlign w:val="bottom"/>
            <w:gridSpan w:val="3"/>
          </w:tcPr>
          <w:p>
            <w:pPr>
              <w:spacing w:after="0" w:line="222" w:lineRule="exact"/>
              <w:rPr>
                <w:sz w:val="20"/>
                <w:szCs w:val="20"/>
                <w:color w:val="auto"/>
              </w:rPr>
            </w:pPr>
            <w:r>
              <w:rPr>
                <w:rFonts w:ascii="Arial" w:cs="Arial" w:eastAsia="Arial" w:hAnsi="Arial"/>
                <w:sz w:val="20"/>
                <w:szCs w:val="20"/>
                <w:color w:val="auto"/>
              </w:rPr>
              <w:t>Total third-party revenues</w:t>
            </w:r>
          </w:p>
        </w:tc>
        <w:tc>
          <w:tcPr>
            <w:tcW w:w="20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222" w:lineRule="exact"/>
              <w:rPr>
                <w:sz w:val="20"/>
                <w:szCs w:val="20"/>
                <w:color w:val="auto"/>
              </w:rPr>
            </w:pPr>
            <w:r>
              <w:rPr>
                <w:rFonts w:ascii="Arial" w:cs="Arial" w:eastAsia="Arial" w:hAnsi="Arial"/>
                <w:sz w:val="20"/>
                <w:szCs w:val="20"/>
                <w:color w:val="auto"/>
              </w:rPr>
              <w:t>4,469,909</w:t>
            </w:r>
          </w:p>
        </w:tc>
        <w:tc>
          <w:tcPr>
            <w:tcW w:w="3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22" w:lineRule="exact"/>
              <w:rPr>
                <w:sz w:val="20"/>
                <w:szCs w:val="20"/>
                <w:color w:val="auto"/>
              </w:rPr>
            </w:pPr>
            <w:r>
              <w:rPr>
                <w:rFonts w:ascii="Arial" w:cs="Arial" w:eastAsia="Arial" w:hAnsi="Arial"/>
                <w:sz w:val="20"/>
                <w:szCs w:val="20"/>
                <w:color w:val="auto"/>
              </w:rPr>
              <w:t>938,796</w:t>
            </w:r>
          </w:p>
        </w:tc>
        <w:tc>
          <w:tcPr>
            <w:tcW w:w="360" w:type="dxa"/>
            <w:vAlign w:val="bottom"/>
            <w:gridSpan w:val="2"/>
          </w:tcPr>
          <w:p>
            <w:pPr>
              <w:jc w:val="right"/>
              <w:ind w:right="41"/>
              <w:spacing w:after="0" w:line="222" w:lineRule="exact"/>
              <w:rPr>
                <w:sz w:val="20"/>
                <w:szCs w:val="20"/>
                <w:color w:val="auto"/>
              </w:rPr>
            </w:pPr>
            <w:r>
              <w:rPr>
                <w:rFonts w:ascii="Arial" w:cs="Arial" w:eastAsia="Arial" w:hAnsi="Arial"/>
                <w:sz w:val="20"/>
                <w:szCs w:val="20"/>
                <w:color w:val="auto"/>
              </w:rPr>
              <w:t>$</w:t>
            </w:r>
          </w:p>
        </w:tc>
        <w:tc>
          <w:tcPr>
            <w:tcW w:w="1240" w:type="dxa"/>
            <w:vAlign w:val="bottom"/>
          </w:tcPr>
          <w:p>
            <w:pPr>
              <w:jc w:val="right"/>
              <w:spacing w:after="0" w:line="222" w:lineRule="exact"/>
              <w:rPr>
                <w:sz w:val="20"/>
                <w:szCs w:val="20"/>
                <w:color w:val="auto"/>
              </w:rPr>
            </w:pPr>
            <w:r>
              <w:rPr>
                <w:rFonts w:ascii="Arial" w:cs="Arial" w:eastAsia="Arial" w:hAnsi="Arial"/>
                <w:sz w:val="20"/>
                <w:szCs w:val="20"/>
                <w:color w:val="auto"/>
              </w:rPr>
              <w:t>447</w:t>
            </w:r>
          </w:p>
        </w:tc>
        <w:tc>
          <w:tcPr>
            <w:tcW w:w="500" w:type="dxa"/>
            <w:vAlign w:val="bottom"/>
            <w:gridSpan w:val="2"/>
          </w:tcPr>
          <w:p>
            <w:pPr>
              <w:jc w:val="right"/>
              <w:ind w:right="142"/>
              <w:spacing w:after="0" w:line="222"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22" w:lineRule="exact"/>
              <w:rPr>
                <w:sz w:val="20"/>
                <w:szCs w:val="20"/>
                <w:color w:val="auto"/>
              </w:rPr>
            </w:pPr>
            <w:r>
              <w:rPr>
                <w:rFonts w:ascii="Arial" w:cs="Arial" w:eastAsia="Arial" w:hAnsi="Arial"/>
                <w:sz w:val="20"/>
                <w:szCs w:val="20"/>
                <w:color w:val="auto"/>
              </w:rPr>
              <w:t>5,409,152</w:t>
            </w:r>
          </w:p>
        </w:tc>
        <w:tc>
          <w:tcPr>
            <w:tcW w:w="0" w:type="dxa"/>
            <w:vAlign w:val="bottom"/>
          </w:tcPr>
          <w:p>
            <w:pPr>
              <w:spacing w:after="0"/>
              <w:rPr>
                <w:sz w:val="1"/>
                <w:szCs w:val="1"/>
                <w:color w:val="auto"/>
              </w:rPr>
            </w:pPr>
          </w:p>
        </w:tc>
      </w:tr>
      <w:tr>
        <w:trPr>
          <w:trHeight w:val="251"/>
        </w:trPr>
        <w:tc>
          <w:tcPr>
            <w:tcW w:w="60" w:type="dxa"/>
            <w:vAlign w:val="bottom"/>
            <w:tcBorders>
              <w:top w:val="single" w:sz="8" w:color="E6E6E6"/>
            </w:tcBorders>
            <w:shd w:val="clear" w:color="auto" w:fill="E6E6E6"/>
          </w:tcPr>
          <w:p>
            <w:pPr>
              <w:spacing w:after="0"/>
              <w:rPr>
                <w:sz w:val="21"/>
                <w:szCs w:val="21"/>
                <w:color w:val="auto"/>
              </w:rPr>
            </w:pPr>
          </w:p>
        </w:tc>
        <w:tc>
          <w:tcPr>
            <w:tcW w:w="1640" w:type="dxa"/>
            <w:vAlign w:val="bottom"/>
            <w:tcBorders>
              <w:top w:val="single" w:sz="8" w:color="E6E6E6"/>
            </w:tcBorders>
            <w:shd w:val="clear" w:color="auto" w:fill="E6E6E6"/>
          </w:tcPr>
          <w:p>
            <w:pPr>
              <w:spacing w:after="0"/>
              <w:rPr>
                <w:sz w:val="21"/>
                <w:szCs w:val="21"/>
                <w:color w:val="auto"/>
              </w:rPr>
            </w:pPr>
          </w:p>
        </w:tc>
        <w:tc>
          <w:tcPr>
            <w:tcW w:w="1020" w:type="dxa"/>
            <w:vAlign w:val="bottom"/>
            <w:tcBorders>
              <w:top w:val="single" w:sz="8" w:color="E6E6E6"/>
            </w:tcBorders>
            <w:shd w:val="clear" w:color="auto" w:fill="E6E6E6"/>
          </w:tcPr>
          <w:p>
            <w:pPr>
              <w:spacing w:after="0"/>
              <w:rPr>
                <w:sz w:val="21"/>
                <w:szCs w:val="21"/>
                <w:color w:val="auto"/>
              </w:rPr>
            </w:pPr>
          </w:p>
        </w:tc>
        <w:tc>
          <w:tcPr>
            <w:tcW w:w="1000" w:type="dxa"/>
            <w:vAlign w:val="bottom"/>
            <w:tcBorders>
              <w:top w:val="single" w:sz="8" w:color="E6E6E6"/>
            </w:tcBorders>
            <w:shd w:val="clear" w:color="auto" w:fill="E6E6E6"/>
          </w:tcPr>
          <w:p>
            <w:pPr>
              <w:spacing w:after="0"/>
              <w:rPr>
                <w:sz w:val="21"/>
                <w:szCs w:val="21"/>
                <w:color w:val="auto"/>
              </w:rPr>
            </w:pPr>
          </w:p>
        </w:tc>
        <w:tc>
          <w:tcPr>
            <w:tcW w:w="200" w:type="dxa"/>
            <w:vAlign w:val="bottom"/>
            <w:tcBorders>
              <w:top w:val="single" w:sz="8" w:color="auto"/>
            </w:tcBorders>
            <w:shd w:val="clear" w:color="auto" w:fill="E6E6E6"/>
          </w:tcPr>
          <w:p>
            <w:pPr>
              <w:spacing w:after="0"/>
              <w:rPr>
                <w:sz w:val="21"/>
                <w:szCs w:val="21"/>
                <w:color w:val="auto"/>
              </w:rPr>
            </w:pPr>
          </w:p>
        </w:tc>
        <w:tc>
          <w:tcPr>
            <w:tcW w:w="128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220" w:type="dxa"/>
            <w:vAlign w:val="bottom"/>
            <w:tcBorders>
              <w:top w:val="single" w:sz="8" w:color="auto"/>
            </w:tcBorders>
            <w:shd w:val="clear" w:color="auto" w:fill="E6E6E6"/>
          </w:tcPr>
          <w:p>
            <w:pPr>
              <w:spacing w:after="0"/>
              <w:rPr>
                <w:sz w:val="21"/>
                <w:szCs w:val="21"/>
                <w:color w:val="auto"/>
              </w:rPr>
            </w:pPr>
          </w:p>
        </w:tc>
        <w:tc>
          <w:tcPr>
            <w:tcW w:w="132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280" w:type="dxa"/>
            <w:vAlign w:val="bottom"/>
            <w:tcBorders>
              <w:top w:val="single" w:sz="8" w:color="auto"/>
            </w:tcBorders>
            <w:shd w:val="clear" w:color="auto" w:fill="E6E6E6"/>
          </w:tcPr>
          <w:p>
            <w:pPr>
              <w:spacing w:after="0"/>
              <w:rPr>
                <w:sz w:val="21"/>
                <w:szCs w:val="21"/>
                <w:color w:val="auto"/>
              </w:rPr>
            </w:pPr>
          </w:p>
        </w:tc>
        <w:tc>
          <w:tcPr>
            <w:tcW w:w="1240" w:type="dxa"/>
            <w:vAlign w:val="bottom"/>
            <w:tcBorders>
              <w:top w:val="single" w:sz="8" w:color="auto"/>
            </w:tcBorders>
            <w:shd w:val="clear" w:color="auto" w:fill="E6E6E6"/>
          </w:tcPr>
          <w:p>
            <w:pPr>
              <w:spacing w:after="0"/>
              <w:rPr>
                <w:sz w:val="21"/>
                <w:szCs w:val="21"/>
                <w:color w:val="auto"/>
              </w:rPr>
            </w:pPr>
          </w:p>
        </w:tc>
        <w:tc>
          <w:tcPr>
            <w:tcW w:w="120" w:type="dxa"/>
            <w:vAlign w:val="bottom"/>
            <w:tcBorders>
              <w:top w:val="single" w:sz="8" w:color="E6E6E6"/>
            </w:tcBorders>
            <w:shd w:val="clear" w:color="auto" w:fill="E6E6E6"/>
          </w:tcPr>
          <w:p>
            <w:pPr>
              <w:spacing w:after="0"/>
              <w:rPr>
                <w:sz w:val="21"/>
                <w:szCs w:val="21"/>
                <w:color w:val="auto"/>
              </w:rPr>
            </w:pPr>
          </w:p>
        </w:tc>
        <w:tc>
          <w:tcPr>
            <w:tcW w:w="380" w:type="dxa"/>
            <w:vAlign w:val="bottom"/>
            <w:tcBorders>
              <w:top w:val="single" w:sz="8" w:color="auto"/>
            </w:tcBorders>
            <w:shd w:val="clear" w:color="auto" w:fill="E6E6E6"/>
          </w:tcPr>
          <w:p>
            <w:pPr>
              <w:spacing w:after="0"/>
              <w:rPr>
                <w:sz w:val="21"/>
                <w:szCs w:val="21"/>
                <w:color w:val="auto"/>
              </w:rPr>
            </w:pPr>
          </w:p>
        </w:tc>
        <w:tc>
          <w:tcPr>
            <w:tcW w:w="120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660" w:type="dxa"/>
            <w:vAlign w:val="bottom"/>
            <w:gridSpan w:val="3"/>
          </w:tcPr>
          <w:p>
            <w:pPr>
              <w:spacing w:after="0" w:line="226" w:lineRule="exact"/>
              <w:rPr>
                <w:sz w:val="20"/>
                <w:szCs w:val="20"/>
                <w:color w:val="auto"/>
              </w:rPr>
            </w:pPr>
            <w:r>
              <w:rPr>
                <w:rFonts w:ascii="Arial" w:cs="Arial" w:eastAsia="Arial" w:hAnsi="Arial"/>
                <w:sz w:val="20"/>
                <w:szCs w:val="20"/>
                <w:b w:val="1"/>
                <w:bCs w:val="1"/>
                <w:color w:val="auto"/>
              </w:rPr>
              <w:t>Sources of Revenue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1"/>
        </w:trPr>
        <w:tc>
          <w:tcPr>
            <w:tcW w:w="60" w:type="dxa"/>
            <w:vAlign w:val="bottom"/>
            <w:shd w:val="clear" w:color="auto" w:fill="E6E6E6"/>
          </w:tcPr>
          <w:p>
            <w:pPr>
              <w:spacing w:after="0"/>
              <w:rPr>
                <w:sz w:val="24"/>
                <w:szCs w:val="24"/>
                <w:color w:val="auto"/>
              </w:rPr>
            </w:pPr>
          </w:p>
        </w:tc>
        <w:tc>
          <w:tcPr>
            <w:tcW w:w="3660" w:type="dxa"/>
            <w:vAlign w:val="bottom"/>
            <w:gridSpan w:val="3"/>
            <w:shd w:val="clear" w:color="auto" w:fill="E6E6E6"/>
          </w:tcPr>
          <w:p>
            <w:pPr>
              <w:spacing w:after="0"/>
              <w:rPr>
                <w:sz w:val="20"/>
                <w:szCs w:val="20"/>
                <w:color w:val="auto"/>
              </w:rPr>
            </w:pPr>
            <w:r>
              <w:rPr>
                <w:rFonts w:ascii="Arial" w:cs="Arial" w:eastAsia="Arial" w:hAnsi="Arial"/>
                <w:sz w:val="20"/>
                <w:szCs w:val="20"/>
                <w:color w:val="auto"/>
              </w:rPr>
              <w:t>Technical Services</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1,563,847</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50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1,563,847</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20"/>
                <w:szCs w:val="20"/>
                <w:color w:val="auto"/>
              </w:rPr>
              <w:t>Industrial Services and Other</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1,418,938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447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1,419,385</w:t>
            </w:r>
          </w:p>
        </w:tc>
        <w:tc>
          <w:tcPr>
            <w:tcW w:w="0" w:type="dxa"/>
            <w:vAlign w:val="bottom"/>
          </w:tcPr>
          <w:p>
            <w:pPr>
              <w:spacing w:after="0"/>
              <w:rPr>
                <w:sz w:val="1"/>
                <w:szCs w:val="1"/>
                <w:color w:val="auto"/>
              </w:rPr>
            </w:pPr>
          </w:p>
        </w:tc>
      </w:tr>
      <w:tr>
        <w:trPr>
          <w:trHeight w:val="287"/>
        </w:trPr>
        <w:tc>
          <w:tcPr>
            <w:tcW w:w="60" w:type="dxa"/>
            <w:vAlign w:val="bottom"/>
            <w:shd w:val="clear" w:color="auto" w:fill="E6E6E6"/>
          </w:tcPr>
          <w:p>
            <w:pPr>
              <w:spacing w:after="0"/>
              <w:rPr>
                <w:sz w:val="24"/>
                <w:szCs w:val="24"/>
                <w:color w:val="auto"/>
              </w:rPr>
            </w:pPr>
          </w:p>
        </w:tc>
        <w:tc>
          <w:tcPr>
            <w:tcW w:w="3660" w:type="dxa"/>
            <w:vAlign w:val="bottom"/>
            <w:gridSpan w:val="3"/>
            <w:shd w:val="clear" w:color="auto" w:fill="E6E6E6"/>
          </w:tcPr>
          <w:p>
            <w:pPr>
              <w:spacing w:after="0"/>
              <w:rPr>
                <w:sz w:val="20"/>
                <w:szCs w:val="20"/>
                <w:color w:val="auto"/>
              </w:rPr>
            </w:pPr>
            <w:r>
              <w:rPr>
                <w:rFonts w:ascii="Arial" w:cs="Arial" w:eastAsia="Arial" w:hAnsi="Arial"/>
                <w:sz w:val="20"/>
                <w:szCs w:val="20"/>
                <w:color w:val="auto"/>
                <w:w w:val="99"/>
              </w:rPr>
              <w:t>Field and Emergency Response Services</w:t>
            </w:r>
          </w:p>
        </w:tc>
        <w:tc>
          <w:tcPr>
            <w:tcW w:w="20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609,913</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609,913</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20"/>
                <w:szCs w:val="20"/>
                <w:color w:val="auto"/>
              </w:rPr>
              <w:t>Safety-Kleen Environmental Services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877,211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224,830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1,102,041</w:t>
            </w:r>
          </w:p>
        </w:tc>
        <w:tc>
          <w:tcPr>
            <w:tcW w:w="0" w:type="dxa"/>
            <w:vAlign w:val="bottom"/>
          </w:tcPr>
          <w:p>
            <w:pPr>
              <w:spacing w:after="0"/>
              <w:rPr>
                <w:sz w:val="1"/>
                <w:szCs w:val="1"/>
                <w:color w:val="auto"/>
              </w:rPr>
            </w:pPr>
          </w:p>
        </w:tc>
      </w:tr>
      <w:tr>
        <w:trPr>
          <w:trHeight w:val="296"/>
        </w:trPr>
        <w:tc>
          <w:tcPr>
            <w:tcW w:w="60" w:type="dxa"/>
            <w:vAlign w:val="bottom"/>
            <w:tcBorders>
              <w:bottom w:val="single" w:sz="8" w:color="E6E6E6"/>
            </w:tcBorders>
            <w:shd w:val="clear" w:color="auto" w:fill="E6E6E6"/>
          </w:tcPr>
          <w:p>
            <w:pPr>
              <w:spacing w:after="0"/>
              <w:rPr>
                <w:sz w:val="24"/>
                <w:szCs w:val="24"/>
                <w:color w:val="auto"/>
              </w:rPr>
            </w:pPr>
          </w:p>
        </w:tc>
        <w:tc>
          <w:tcPr>
            <w:tcW w:w="366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20"/>
                <w:szCs w:val="20"/>
                <w:color w:val="auto"/>
              </w:rPr>
              <w:t>Safety-Kleen Oil</w:t>
            </w:r>
          </w:p>
        </w:tc>
        <w:tc>
          <w:tcPr>
            <w:tcW w:w="20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713,966</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713,966</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3660" w:type="dxa"/>
            <w:vAlign w:val="bottom"/>
            <w:gridSpan w:val="3"/>
          </w:tcPr>
          <w:p>
            <w:pPr>
              <w:spacing w:after="0" w:line="222" w:lineRule="exact"/>
              <w:rPr>
                <w:sz w:val="20"/>
                <w:szCs w:val="20"/>
                <w:color w:val="auto"/>
              </w:rPr>
            </w:pPr>
            <w:r>
              <w:rPr>
                <w:rFonts w:ascii="Arial" w:cs="Arial" w:eastAsia="Arial" w:hAnsi="Arial"/>
                <w:sz w:val="20"/>
                <w:szCs w:val="20"/>
                <w:color w:val="auto"/>
              </w:rPr>
              <w:t>Total third-party revenues</w:t>
            </w:r>
          </w:p>
        </w:tc>
        <w:tc>
          <w:tcPr>
            <w:tcW w:w="20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222" w:lineRule="exact"/>
              <w:rPr>
                <w:sz w:val="20"/>
                <w:szCs w:val="20"/>
                <w:color w:val="auto"/>
              </w:rPr>
            </w:pPr>
            <w:r>
              <w:rPr>
                <w:rFonts w:ascii="Arial" w:cs="Arial" w:eastAsia="Arial" w:hAnsi="Arial"/>
                <w:sz w:val="20"/>
                <w:szCs w:val="20"/>
                <w:color w:val="auto"/>
              </w:rPr>
              <w:t>4,469,909</w:t>
            </w:r>
          </w:p>
        </w:tc>
        <w:tc>
          <w:tcPr>
            <w:tcW w:w="3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22" w:lineRule="exact"/>
              <w:rPr>
                <w:sz w:val="20"/>
                <w:szCs w:val="20"/>
                <w:color w:val="auto"/>
              </w:rPr>
            </w:pPr>
            <w:r>
              <w:rPr>
                <w:rFonts w:ascii="Arial" w:cs="Arial" w:eastAsia="Arial" w:hAnsi="Arial"/>
                <w:sz w:val="20"/>
                <w:szCs w:val="20"/>
                <w:color w:val="auto"/>
              </w:rPr>
              <w:t>938,796</w:t>
            </w:r>
          </w:p>
        </w:tc>
        <w:tc>
          <w:tcPr>
            <w:tcW w:w="360" w:type="dxa"/>
            <w:vAlign w:val="bottom"/>
            <w:gridSpan w:val="2"/>
          </w:tcPr>
          <w:p>
            <w:pPr>
              <w:jc w:val="right"/>
              <w:ind w:right="41"/>
              <w:spacing w:after="0" w:line="222" w:lineRule="exact"/>
              <w:rPr>
                <w:sz w:val="20"/>
                <w:szCs w:val="20"/>
                <w:color w:val="auto"/>
              </w:rPr>
            </w:pPr>
            <w:r>
              <w:rPr>
                <w:rFonts w:ascii="Arial" w:cs="Arial" w:eastAsia="Arial" w:hAnsi="Arial"/>
                <w:sz w:val="20"/>
                <w:szCs w:val="20"/>
                <w:color w:val="auto"/>
              </w:rPr>
              <w:t>$</w:t>
            </w:r>
          </w:p>
        </w:tc>
        <w:tc>
          <w:tcPr>
            <w:tcW w:w="1240" w:type="dxa"/>
            <w:vAlign w:val="bottom"/>
          </w:tcPr>
          <w:p>
            <w:pPr>
              <w:jc w:val="right"/>
              <w:spacing w:after="0" w:line="222" w:lineRule="exact"/>
              <w:rPr>
                <w:sz w:val="20"/>
                <w:szCs w:val="20"/>
                <w:color w:val="auto"/>
              </w:rPr>
            </w:pPr>
            <w:r>
              <w:rPr>
                <w:rFonts w:ascii="Arial" w:cs="Arial" w:eastAsia="Arial" w:hAnsi="Arial"/>
                <w:sz w:val="20"/>
                <w:szCs w:val="20"/>
                <w:color w:val="auto"/>
              </w:rPr>
              <w:t>447</w:t>
            </w:r>
          </w:p>
        </w:tc>
        <w:tc>
          <w:tcPr>
            <w:tcW w:w="500" w:type="dxa"/>
            <w:vAlign w:val="bottom"/>
            <w:gridSpan w:val="2"/>
          </w:tcPr>
          <w:p>
            <w:pPr>
              <w:jc w:val="right"/>
              <w:ind w:right="142"/>
              <w:spacing w:after="0" w:line="222"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22" w:lineRule="exact"/>
              <w:rPr>
                <w:sz w:val="20"/>
                <w:szCs w:val="20"/>
                <w:color w:val="auto"/>
              </w:rPr>
            </w:pPr>
            <w:r>
              <w:rPr>
                <w:rFonts w:ascii="Arial" w:cs="Arial" w:eastAsia="Arial" w:hAnsi="Arial"/>
                <w:sz w:val="20"/>
                <w:szCs w:val="20"/>
                <w:color w:val="auto"/>
              </w:rPr>
              <w:t>5,409,152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-4305935</wp:posOffset>
            </wp:positionV>
            <wp:extent cx="4087495" cy="50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87495" cy="5016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-2879725</wp:posOffset>
            </wp:positionV>
            <wp:extent cx="4087495" cy="50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87495" cy="5016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-1469390</wp:posOffset>
            </wp:positionV>
            <wp:extent cx="4087495" cy="50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87495" cy="5016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-43180</wp:posOffset>
            </wp:positionV>
            <wp:extent cx="4087495" cy="50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87495" cy="50165"/>
                    </a:xfrm>
                    <a:prstGeom prst="rect">
                      <a:avLst/>
                    </a:prstGeom>
                    <a:noFill/>
                  </pic:spPr>
                </pic:pic>
              </a:graphicData>
            </a:graphic>
          </wp:anchor>
        </w:drawing>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880" w:h="15480" w:orient="portrait"/>
          <w:cols w:equalWidth="0" w:num="1">
            <w:col w:w="10120"/>
          </w:cols>
          <w:pgMar w:left="880" w:top="338" w:right="880" w:bottom="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b w:val="1"/>
                <w:bCs w:val="1"/>
                <w:color w:val="auto"/>
                <w:w w:val="99"/>
              </w:rPr>
              <w:t>For the year ended December 31, 2022</w:t>
            </w: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ind w:right="145"/>
              <w:spacing w:after="0"/>
              <w:rPr>
                <w:sz w:val="20"/>
                <w:szCs w:val="20"/>
                <w:color w:val="auto"/>
              </w:rPr>
            </w:pPr>
            <w:r>
              <w:rPr>
                <w:rFonts w:ascii="Arial" w:cs="Arial" w:eastAsia="Arial" w:hAnsi="Arial"/>
                <w:sz w:val="16"/>
                <w:szCs w:val="16"/>
                <w:b w:val="1"/>
                <w:bCs w:val="1"/>
                <w:color w:val="auto"/>
                <w:w w:val="91"/>
              </w:rPr>
              <w:t>Environmental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28"/>
              <w:spacing w:after="0"/>
              <w:rPr>
                <w:sz w:val="20"/>
                <w:szCs w:val="20"/>
                <w:color w:val="auto"/>
              </w:rPr>
            </w:pPr>
            <w:r>
              <w:rPr>
                <w:rFonts w:ascii="Arial" w:cs="Arial" w:eastAsia="Arial" w:hAnsi="Arial"/>
                <w:sz w:val="16"/>
                <w:szCs w:val="16"/>
                <w:b w:val="1"/>
                <w:bCs w:val="1"/>
                <w:color w:val="auto"/>
                <w:w w:val="88"/>
              </w:rPr>
              <w:t>Safety-Kleen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28"/>
              <w:spacing w:after="0" w:line="158" w:lineRule="exact"/>
              <w:rPr>
                <w:sz w:val="20"/>
                <w:szCs w:val="20"/>
                <w:color w:val="auto"/>
              </w:rPr>
            </w:pPr>
            <w:r>
              <w:rPr>
                <w:rFonts w:ascii="Arial" w:cs="Arial" w:eastAsia="Arial" w:hAnsi="Arial"/>
                <w:sz w:val="16"/>
                <w:szCs w:val="16"/>
                <w:b w:val="1"/>
                <w:bCs w:val="1"/>
                <w:color w:val="auto"/>
                <w:w w:val="90"/>
              </w:rPr>
              <w:t>Sustainability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Corporate</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2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65"/>
              <w:spacing w:after="0"/>
              <w:rPr>
                <w:sz w:val="20"/>
                <w:szCs w:val="20"/>
                <w:color w:val="auto"/>
              </w:rPr>
            </w:pPr>
            <w:r>
              <w:rPr>
                <w:rFonts w:ascii="Arial" w:cs="Arial" w:eastAsia="Arial" w:hAnsi="Arial"/>
                <w:sz w:val="16"/>
                <w:szCs w:val="16"/>
                <w:b w:val="1"/>
                <w:bCs w:val="1"/>
                <w:color w:val="auto"/>
              </w:rPr>
              <w:t>Services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28"/>
              <w:spacing w:after="0"/>
              <w:rPr>
                <w:sz w:val="20"/>
                <w:szCs w:val="20"/>
                <w:color w:val="auto"/>
              </w:rPr>
            </w:pPr>
            <w:r>
              <w:rPr>
                <w:rFonts w:ascii="Arial" w:cs="Arial" w:eastAsia="Arial" w:hAnsi="Arial"/>
                <w:sz w:val="16"/>
                <w:szCs w:val="16"/>
                <w:b w:val="1"/>
                <w:bCs w:val="1"/>
                <w:color w:val="auto"/>
                <w:w w:val="84"/>
              </w:rPr>
              <w:t>Solutions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660" w:type="dxa"/>
            <w:vAlign w:val="bottom"/>
            <w:tcBorders>
              <w:top w:val="single" w:sz="8" w:color="E6E6E6"/>
              <w:bottom w:val="single" w:sz="8" w:color="auto"/>
            </w:tcBorders>
            <w:gridSpan w:val="2"/>
            <w:shd w:val="clear" w:color="auto" w:fill="E6E6E6"/>
          </w:tcPr>
          <w:p>
            <w:pPr>
              <w:spacing w:after="0" w:line="215" w:lineRule="exact"/>
              <w:rPr>
                <w:sz w:val="20"/>
                <w:szCs w:val="20"/>
                <w:color w:val="auto"/>
              </w:rPr>
            </w:pPr>
            <w:r>
              <w:rPr>
                <w:rFonts w:ascii="Arial" w:cs="Arial" w:eastAsia="Arial" w:hAnsi="Arial"/>
                <w:sz w:val="20"/>
                <w:szCs w:val="20"/>
                <w:b w:val="1"/>
                <w:bCs w:val="1"/>
                <w:color w:val="auto"/>
                <w:w w:val="91"/>
              </w:rPr>
              <w:t>Primary Geographical Markets</w:t>
            </w:r>
          </w:p>
        </w:tc>
        <w:tc>
          <w:tcPr>
            <w:tcW w:w="1000" w:type="dxa"/>
            <w:vAlign w:val="bottom"/>
            <w:tcBorders>
              <w:top w:val="single" w:sz="8" w:color="E6E6E6"/>
              <w:bottom w:val="single" w:sz="8" w:color="E6E6E6"/>
            </w:tcBorders>
            <w:shd w:val="clear" w:color="auto" w:fill="E6E6E6"/>
          </w:tcPr>
          <w:p>
            <w:pPr>
              <w:spacing w:after="0"/>
              <w:rPr>
                <w:sz w:val="21"/>
                <w:szCs w:val="21"/>
                <w:color w:val="auto"/>
              </w:rPr>
            </w:pPr>
          </w:p>
        </w:tc>
        <w:tc>
          <w:tcPr>
            <w:tcW w:w="200" w:type="dxa"/>
            <w:vAlign w:val="bottom"/>
            <w:tcBorders>
              <w:top w:val="single" w:sz="8" w:color="auto"/>
              <w:bottom w:val="single" w:sz="8" w:color="E6E6E6"/>
            </w:tcBorders>
            <w:shd w:val="clear" w:color="auto" w:fill="E6E6E6"/>
          </w:tcPr>
          <w:p>
            <w:pPr>
              <w:spacing w:after="0"/>
              <w:rPr>
                <w:sz w:val="21"/>
                <w:szCs w:val="21"/>
                <w:color w:val="auto"/>
              </w:rPr>
            </w:pPr>
          </w:p>
        </w:tc>
        <w:tc>
          <w:tcPr>
            <w:tcW w:w="1280" w:type="dxa"/>
            <w:vAlign w:val="bottom"/>
            <w:tcBorders>
              <w:top w:val="single" w:sz="8" w:color="auto"/>
              <w:bottom w:val="single" w:sz="8" w:color="E6E6E6"/>
            </w:tcBorders>
            <w:shd w:val="clear" w:color="auto" w:fill="E6E6E6"/>
          </w:tcPr>
          <w:p>
            <w:pPr>
              <w:spacing w:after="0"/>
              <w:rPr>
                <w:sz w:val="21"/>
                <w:szCs w:val="21"/>
                <w:color w:val="auto"/>
              </w:rPr>
            </w:pP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220" w:type="dxa"/>
            <w:vAlign w:val="bottom"/>
            <w:tcBorders>
              <w:top w:val="single" w:sz="8" w:color="auto"/>
              <w:bottom w:val="single" w:sz="8" w:color="E6E6E6"/>
            </w:tcBorders>
            <w:shd w:val="clear" w:color="auto" w:fill="E6E6E6"/>
          </w:tcPr>
          <w:p>
            <w:pPr>
              <w:spacing w:after="0"/>
              <w:rPr>
                <w:sz w:val="21"/>
                <w:szCs w:val="21"/>
                <w:color w:val="auto"/>
              </w:rPr>
            </w:pPr>
          </w:p>
        </w:tc>
        <w:tc>
          <w:tcPr>
            <w:tcW w:w="1320" w:type="dxa"/>
            <w:vAlign w:val="bottom"/>
            <w:tcBorders>
              <w:top w:val="single" w:sz="8" w:color="auto"/>
              <w:bottom w:val="single" w:sz="8" w:color="E6E6E6"/>
            </w:tcBorders>
            <w:shd w:val="clear" w:color="auto" w:fill="E6E6E6"/>
          </w:tcPr>
          <w:p>
            <w:pPr>
              <w:spacing w:after="0"/>
              <w:rPr>
                <w:sz w:val="21"/>
                <w:szCs w:val="21"/>
                <w:color w:val="auto"/>
              </w:rPr>
            </w:pP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0" w:type="dxa"/>
            <w:vAlign w:val="bottom"/>
            <w:tcBorders>
              <w:top w:val="single" w:sz="8" w:color="E6E6E6"/>
              <w:bottom w:val="single" w:sz="8" w:color="E6E6E6"/>
            </w:tcBorders>
            <w:shd w:val="clear" w:color="auto" w:fill="E6E6E6"/>
          </w:tcPr>
          <w:p>
            <w:pPr>
              <w:spacing w:after="0"/>
              <w:rPr>
                <w:sz w:val="21"/>
                <w:szCs w:val="21"/>
                <w:color w:val="auto"/>
              </w:rPr>
            </w:pPr>
          </w:p>
        </w:tc>
        <w:tc>
          <w:tcPr>
            <w:tcW w:w="80" w:type="dxa"/>
            <w:vAlign w:val="bottom"/>
            <w:tcBorders>
              <w:top w:val="single" w:sz="8" w:color="auto"/>
              <w:bottom w:val="single" w:sz="8" w:color="E6E6E6"/>
            </w:tcBorders>
            <w:shd w:val="clear" w:color="auto" w:fill="E6E6E6"/>
          </w:tcPr>
          <w:p>
            <w:pPr>
              <w:spacing w:after="0"/>
              <w:rPr>
                <w:sz w:val="21"/>
                <w:szCs w:val="21"/>
                <w:color w:val="auto"/>
              </w:rPr>
            </w:pPr>
          </w:p>
        </w:tc>
        <w:tc>
          <w:tcPr>
            <w:tcW w:w="240" w:type="dxa"/>
            <w:vAlign w:val="bottom"/>
            <w:tcBorders>
              <w:top w:val="single" w:sz="8" w:color="auto"/>
              <w:bottom w:val="single" w:sz="8" w:color="E6E6E6"/>
            </w:tcBorders>
            <w:shd w:val="clear" w:color="auto" w:fill="E6E6E6"/>
          </w:tcPr>
          <w:p>
            <w:pPr>
              <w:spacing w:after="0"/>
              <w:rPr>
                <w:sz w:val="21"/>
                <w:szCs w:val="21"/>
                <w:color w:val="auto"/>
              </w:rPr>
            </w:pPr>
          </w:p>
        </w:tc>
        <w:tc>
          <w:tcPr>
            <w:tcW w:w="1200" w:type="dxa"/>
            <w:vAlign w:val="bottom"/>
            <w:tcBorders>
              <w:top w:val="single" w:sz="8" w:color="auto"/>
              <w:bottom w:val="single" w:sz="8" w:color="E6E6E6"/>
            </w:tcBorders>
            <w:shd w:val="clear" w:color="auto" w:fill="E6E6E6"/>
          </w:tcPr>
          <w:p>
            <w:pPr>
              <w:spacing w:after="0"/>
              <w:rPr>
                <w:sz w:val="21"/>
                <w:szCs w:val="21"/>
                <w:color w:val="auto"/>
              </w:rPr>
            </w:pPr>
          </w:p>
        </w:tc>
        <w:tc>
          <w:tcPr>
            <w:tcW w:w="80" w:type="dxa"/>
            <w:vAlign w:val="bottom"/>
            <w:tcBorders>
              <w:top w:val="single" w:sz="8" w:color="E6E6E6"/>
              <w:bottom w:val="single" w:sz="8" w:color="E6E6E6"/>
            </w:tcBorders>
            <w:shd w:val="clear" w:color="auto" w:fill="E6E6E6"/>
          </w:tcPr>
          <w:p>
            <w:pPr>
              <w:spacing w:after="0"/>
              <w:rPr>
                <w:sz w:val="21"/>
                <w:szCs w:val="21"/>
                <w:color w:val="auto"/>
              </w:rPr>
            </w:pPr>
          </w:p>
        </w:tc>
        <w:tc>
          <w:tcPr>
            <w:tcW w:w="40" w:type="dxa"/>
            <w:vAlign w:val="bottom"/>
            <w:tcBorders>
              <w:top w:val="single" w:sz="8" w:color="E6E6E6"/>
              <w:bottom w:val="single" w:sz="8" w:color="E6E6E6"/>
            </w:tcBorders>
            <w:shd w:val="clear" w:color="auto" w:fill="E6E6E6"/>
          </w:tcPr>
          <w:p>
            <w:pPr>
              <w:spacing w:after="0"/>
              <w:rPr>
                <w:sz w:val="21"/>
                <w:szCs w:val="21"/>
                <w:color w:val="auto"/>
              </w:rPr>
            </w:pPr>
          </w:p>
        </w:tc>
        <w:tc>
          <w:tcPr>
            <w:tcW w:w="40" w:type="dxa"/>
            <w:vAlign w:val="bottom"/>
            <w:tcBorders>
              <w:top w:val="single" w:sz="8" w:color="auto"/>
              <w:bottom w:val="single" w:sz="8" w:color="E6E6E6"/>
            </w:tcBorders>
            <w:shd w:val="clear" w:color="auto" w:fill="E6E6E6"/>
          </w:tcPr>
          <w:p>
            <w:pPr>
              <w:spacing w:after="0"/>
              <w:rPr>
                <w:sz w:val="21"/>
                <w:szCs w:val="21"/>
                <w:color w:val="auto"/>
              </w:rPr>
            </w:pPr>
          </w:p>
        </w:tc>
        <w:tc>
          <w:tcPr>
            <w:tcW w:w="360" w:type="dxa"/>
            <w:vAlign w:val="bottom"/>
            <w:tcBorders>
              <w:top w:val="single" w:sz="8" w:color="auto"/>
              <w:bottom w:val="single" w:sz="8" w:color="E6E6E6"/>
            </w:tcBorders>
            <w:shd w:val="clear" w:color="auto" w:fill="E6E6E6"/>
          </w:tcPr>
          <w:p>
            <w:pPr>
              <w:spacing w:after="0"/>
              <w:rPr>
                <w:sz w:val="21"/>
                <w:szCs w:val="21"/>
                <w:color w:val="auto"/>
              </w:rPr>
            </w:pPr>
          </w:p>
        </w:tc>
        <w:tc>
          <w:tcPr>
            <w:tcW w:w="1180" w:type="dxa"/>
            <w:vAlign w:val="bottom"/>
            <w:tcBorders>
              <w:top w:val="single" w:sz="8" w:color="auto"/>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20"/>
                <w:szCs w:val="20"/>
                <w:color w:val="auto"/>
              </w:rPr>
              <w:t>United States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3,675,880</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899,780</w:t>
            </w:r>
          </w:p>
        </w:tc>
        <w:tc>
          <w:tcPr>
            <w:tcW w:w="400" w:type="dxa"/>
            <w:vAlign w:val="bottom"/>
            <w:gridSpan w:val="4"/>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507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4,576,167</w:t>
            </w:r>
          </w:p>
        </w:tc>
        <w:tc>
          <w:tcPr>
            <w:tcW w:w="0" w:type="dxa"/>
            <w:vAlign w:val="bottom"/>
          </w:tcPr>
          <w:p>
            <w:pPr>
              <w:spacing w:after="0"/>
              <w:rPr>
                <w:sz w:val="1"/>
                <w:szCs w:val="1"/>
                <w:color w:val="auto"/>
              </w:rPr>
            </w:pPr>
          </w:p>
        </w:tc>
      </w:tr>
      <w:tr>
        <w:trPr>
          <w:trHeight w:val="296"/>
        </w:trPr>
        <w:tc>
          <w:tcPr>
            <w:tcW w:w="60" w:type="dxa"/>
            <w:vAlign w:val="bottom"/>
            <w:tcBorders>
              <w:bottom w:val="single" w:sz="8" w:color="E6E6E6"/>
            </w:tcBorders>
            <w:shd w:val="clear" w:color="auto" w:fill="E6E6E6"/>
          </w:tcPr>
          <w:p>
            <w:pPr>
              <w:spacing w:after="0"/>
              <w:rPr>
                <w:sz w:val="24"/>
                <w:szCs w:val="24"/>
                <w:color w:val="auto"/>
              </w:rPr>
            </w:pPr>
          </w:p>
        </w:tc>
        <w:tc>
          <w:tcPr>
            <w:tcW w:w="366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20"/>
                <w:szCs w:val="20"/>
                <w:color w:val="auto"/>
              </w:rPr>
              <w:t>Canada</w:t>
            </w:r>
          </w:p>
        </w:tc>
        <w:tc>
          <w:tcPr>
            <w:tcW w:w="20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469,093</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121,345</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auto"/>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E6E6E6"/>
            </w:tcBorders>
            <w:gridSpan w:val="2"/>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590,438</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3660" w:type="dxa"/>
            <w:vAlign w:val="bottom"/>
            <w:gridSpan w:val="3"/>
          </w:tcPr>
          <w:p>
            <w:pPr>
              <w:spacing w:after="0" w:line="222" w:lineRule="exact"/>
              <w:rPr>
                <w:sz w:val="20"/>
                <w:szCs w:val="20"/>
                <w:color w:val="auto"/>
              </w:rPr>
            </w:pPr>
            <w:r>
              <w:rPr>
                <w:rFonts w:ascii="Arial" w:cs="Arial" w:eastAsia="Arial" w:hAnsi="Arial"/>
                <w:sz w:val="20"/>
                <w:szCs w:val="20"/>
                <w:color w:val="auto"/>
              </w:rPr>
              <w:t>Total third-party revenues</w:t>
            </w:r>
          </w:p>
        </w:tc>
        <w:tc>
          <w:tcPr>
            <w:tcW w:w="20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222" w:lineRule="exact"/>
              <w:rPr>
                <w:sz w:val="20"/>
                <w:szCs w:val="20"/>
                <w:color w:val="auto"/>
              </w:rPr>
            </w:pPr>
            <w:r>
              <w:rPr>
                <w:rFonts w:ascii="Arial" w:cs="Arial" w:eastAsia="Arial" w:hAnsi="Arial"/>
                <w:sz w:val="20"/>
                <w:szCs w:val="20"/>
                <w:color w:val="auto"/>
              </w:rPr>
              <w:t>4,144,973</w:t>
            </w:r>
          </w:p>
        </w:tc>
        <w:tc>
          <w:tcPr>
            <w:tcW w:w="3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22" w:lineRule="exact"/>
              <w:rPr>
                <w:sz w:val="20"/>
                <w:szCs w:val="20"/>
                <w:color w:val="auto"/>
              </w:rPr>
            </w:pPr>
            <w:r>
              <w:rPr>
                <w:rFonts w:ascii="Arial" w:cs="Arial" w:eastAsia="Arial" w:hAnsi="Arial"/>
                <w:sz w:val="20"/>
                <w:szCs w:val="20"/>
                <w:color w:val="auto"/>
              </w:rPr>
              <w:t>1,021,125</w:t>
            </w:r>
          </w:p>
        </w:tc>
        <w:tc>
          <w:tcPr>
            <w:tcW w:w="400" w:type="dxa"/>
            <w:vAlign w:val="bottom"/>
            <w:gridSpan w:val="4"/>
          </w:tcPr>
          <w:p>
            <w:pPr>
              <w:jc w:val="right"/>
              <w:ind w:right="101"/>
              <w:spacing w:after="0" w:line="222"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22" w:lineRule="exact"/>
              <w:rPr>
                <w:sz w:val="20"/>
                <w:szCs w:val="20"/>
                <w:color w:val="auto"/>
              </w:rPr>
            </w:pPr>
            <w:r>
              <w:rPr>
                <w:rFonts w:ascii="Arial" w:cs="Arial" w:eastAsia="Arial" w:hAnsi="Arial"/>
                <w:sz w:val="20"/>
                <w:szCs w:val="20"/>
                <w:color w:val="auto"/>
              </w:rPr>
              <w:t>507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gridSpan w:val="2"/>
          </w:tcPr>
          <w:p>
            <w:pPr>
              <w:jc w:val="right"/>
              <w:ind w:right="181"/>
              <w:spacing w:after="0" w:line="222" w:lineRule="exact"/>
              <w:rPr>
                <w:sz w:val="20"/>
                <w:szCs w:val="20"/>
                <w:color w:val="auto"/>
              </w:rPr>
            </w:pPr>
            <w:r>
              <w:rPr>
                <w:rFonts w:ascii="Arial" w:cs="Arial" w:eastAsia="Arial" w:hAnsi="Arial"/>
                <w:sz w:val="20"/>
                <w:szCs w:val="20"/>
                <w:color w:val="auto"/>
              </w:rPr>
              <w:t>$</w:t>
            </w:r>
          </w:p>
        </w:tc>
        <w:tc>
          <w:tcPr>
            <w:tcW w:w="1180" w:type="dxa"/>
            <w:vAlign w:val="bottom"/>
          </w:tcPr>
          <w:p>
            <w:pPr>
              <w:jc w:val="right"/>
              <w:spacing w:after="0" w:line="222" w:lineRule="exact"/>
              <w:rPr>
                <w:sz w:val="20"/>
                <w:szCs w:val="20"/>
                <w:color w:val="auto"/>
              </w:rPr>
            </w:pPr>
            <w:r>
              <w:rPr>
                <w:rFonts w:ascii="Arial" w:cs="Arial" w:eastAsia="Arial" w:hAnsi="Arial"/>
                <w:sz w:val="20"/>
                <w:szCs w:val="20"/>
                <w:color w:val="auto"/>
              </w:rPr>
              <w:t>5,166,605</w:t>
            </w:r>
          </w:p>
        </w:tc>
        <w:tc>
          <w:tcPr>
            <w:tcW w:w="0" w:type="dxa"/>
            <w:vAlign w:val="bottom"/>
          </w:tcPr>
          <w:p>
            <w:pPr>
              <w:spacing w:after="0"/>
              <w:rPr>
                <w:sz w:val="1"/>
                <w:szCs w:val="1"/>
                <w:color w:val="auto"/>
              </w:rPr>
            </w:pPr>
          </w:p>
        </w:tc>
      </w:tr>
      <w:tr>
        <w:trPr>
          <w:trHeight w:val="251"/>
        </w:trPr>
        <w:tc>
          <w:tcPr>
            <w:tcW w:w="60" w:type="dxa"/>
            <w:vAlign w:val="bottom"/>
            <w:tcBorders>
              <w:top w:val="single" w:sz="8" w:color="E6E6E6"/>
            </w:tcBorders>
            <w:shd w:val="clear" w:color="auto" w:fill="E6E6E6"/>
          </w:tcPr>
          <w:p>
            <w:pPr>
              <w:spacing w:after="0"/>
              <w:rPr>
                <w:sz w:val="21"/>
                <w:szCs w:val="21"/>
                <w:color w:val="auto"/>
              </w:rPr>
            </w:pPr>
          </w:p>
        </w:tc>
        <w:tc>
          <w:tcPr>
            <w:tcW w:w="1640" w:type="dxa"/>
            <w:vAlign w:val="bottom"/>
            <w:tcBorders>
              <w:top w:val="single" w:sz="8" w:color="E6E6E6"/>
            </w:tcBorders>
            <w:shd w:val="clear" w:color="auto" w:fill="E6E6E6"/>
          </w:tcPr>
          <w:p>
            <w:pPr>
              <w:spacing w:after="0"/>
              <w:rPr>
                <w:sz w:val="21"/>
                <w:szCs w:val="21"/>
                <w:color w:val="auto"/>
              </w:rPr>
            </w:pPr>
          </w:p>
        </w:tc>
        <w:tc>
          <w:tcPr>
            <w:tcW w:w="1020" w:type="dxa"/>
            <w:vAlign w:val="bottom"/>
            <w:tcBorders>
              <w:top w:val="single" w:sz="8" w:color="E6E6E6"/>
            </w:tcBorders>
            <w:shd w:val="clear" w:color="auto" w:fill="E6E6E6"/>
          </w:tcPr>
          <w:p>
            <w:pPr>
              <w:spacing w:after="0"/>
              <w:rPr>
                <w:sz w:val="21"/>
                <w:szCs w:val="21"/>
                <w:color w:val="auto"/>
              </w:rPr>
            </w:pPr>
          </w:p>
        </w:tc>
        <w:tc>
          <w:tcPr>
            <w:tcW w:w="1000" w:type="dxa"/>
            <w:vAlign w:val="bottom"/>
            <w:tcBorders>
              <w:top w:val="single" w:sz="8" w:color="E6E6E6"/>
            </w:tcBorders>
            <w:shd w:val="clear" w:color="auto" w:fill="E6E6E6"/>
          </w:tcPr>
          <w:p>
            <w:pPr>
              <w:spacing w:after="0"/>
              <w:rPr>
                <w:sz w:val="21"/>
                <w:szCs w:val="21"/>
                <w:color w:val="auto"/>
              </w:rPr>
            </w:pPr>
          </w:p>
        </w:tc>
        <w:tc>
          <w:tcPr>
            <w:tcW w:w="200" w:type="dxa"/>
            <w:vAlign w:val="bottom"/>
            <w:tcBorders>
              <w:top w:val="single" w:sz="8" w:color="auto"/>
            </w:tcBorders>
            <w:shd w:val="clear" w:color="auto" w:fill="E6E6E6"/>
          </w:tcPr>
          <w:p>
            <w:pPr>
              <w:spacing w:after="0"/>
              <w:rPr>
                <w:sz w:val="21"/>
                <w:szCs w:val="21"/>
                <w:color w:val="auto"/>
              </w:rPr>
            </w:pPr>
          </w:p>
        </w:tc>
        <w:tc>
          <w:tcPr>
            <w:tcW w:w="128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220" w:type="dxa"/>
            <w:vAlign w:val="bottom"/>
            <w:tcBorders>
              <w:top w:val="single" w:sz="8" w:color="auto"/>
            </w:tcBorders>
            <w:shd w:val="clear" w:color="auto" w:fill="E6E6E6"/>
          </w:tcPr>
          <w:p>
            <w:pPr>
              <w:spacing w:after="0"/>
              <w:rPr>
                <w:sz w:val="21"/>
                <w:szCs w:val="21"/>
                <w:color w:val="auto"/>
              </w:rPr>
            </w:pPr>
          </w:p>
        </w:tc>
        <w:tc>
          <w:tcPr>
            <w:tcW w:w="132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80" w:type="dxa"/>
            <w:vAlign w:val="bottom"/>
            <w:tcBorders>
              <w:top w:val="single" w:sz="8" w:color="auto"/>
            </w:tcBorders>
            <w:shd w:val="clear" w:color="auto" w:fill="E6E6E6"/>
          </w:tcPr>
          <w:p>
            <w:pPr>
              <w:spacing w:after="0"/>
              <w:rPr>
                <w:sz w:val="21"/>
                <w:szCs w:val="21"/>
                <w:color w:val="auto"/>
              </w:rPr>
            </w:pPr>
          </w:p>
        </w:tc>
        <w:tc>
          <w:tcPr>
            <w:tcW w:w="240" w:type="dxa"/>
            <w:vAlign w:val="bottom"/>
            <w:tcBorders>
              <w:top w:val="single" w:sz="8" w:color="auto"/>
            </w:tcBorders>
            <w:shd w:val="clear" w:color="auto" w:fill="E6E6E6"/>
          </w:tcPr>
          <w:p>
            <w:pPr>
              <w:spacing w:after="0"/>
              <w:rPr>
                <w:sz w:val="21"/>
                <w:szCs w:val="21"/>
                <w:color w:val="auto"/>
              </w:rPr>
            </w:pPr>
          </w:p>
        </w:tc>
        <w:tc>
          <w:tcPr>
            <w:tcW w:w="120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40" w:type="dxa"/>
            <w:vAlign w:val="bottom"/>
            <w:tcBorders>
              <w:top w:val="single" w:sz="8" w:color="auto"/>
            </w:tcBorders>
            <w:shd w:val="clear" w:color="auto" w:fill="E6E6E6"/>
          </w:tcPr>
          <w:p>
            <w:pPr>
              <w:spacing w:after="0"/>
              <w:rPr>
                <w:sz w:val="21"/>
                <w:szCs w:val="21"/>
                <w:color w:val="auto"/>
              </w:rPr>
            </w:pPr>
          </w:p>
        </w:tc>
        <w:tc>
          <w:tcPr>
            <w:tcW w:w="360" w:type="dxa"/>
            <w:vAlign w:val="bottom"/>
            <w:tcBorders>
              <w:top w:val="single" w:sz="8" w:color="auto"/>
            </w:tcBorders>
            <w:shd w:val="clear" w:color="auto" w:fill="E6E6E6"/>
          </w:tcPr>
          <w:p>
            <w:pPr>
              <w:spacing w:after="0"/>
              <w:rPr>
                <w:sz w:val="21"/>
                <w:szCs w:val="21"/>
                <w:color w:val="auto"/>
              </w:rPr>
            </w:pPr>
          </w:p>
        </w:tc>
        <w:tc>
          <w:tcPr>
            <w:tcW w:w="118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660" w:type="dxa"/>
            <w:vAlign w:val="bottom"/>
            <w:gridSpan w:val="3"/>
          </w:tcPr>
          <w:p>
            <w:pPr>
              <w:spacing w:after="0" w:line="226" w:lineRule="exact"/>
              <w:rPr>
                <w:sz w:val="20"/>
                <w:szCs w:val="20"/>
                <w:color w:val="auto"/>
              </w:rPr>
            </w:pPr>
            <w:r>
              <w:rPr>
                <w:rFonts w:ascii="Arial" w:cs="Arial" w:eastAsia="Arial" w:hAnsi="Arial"/>
                <w:sz w:val="20"/>
                <w:szCs w:val="20"/>
                <w:b w:val="1"/>
                <w:bCs w:val="1"/>
                <w:color w:val="auto"/>
              </w:rPr>
              <w:t>Sources of Revenue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1"/>
        </w:trPr>
        <w:tc>
          <w:tcPr>
            <w:tcW w:w="60" w:type="dxa"/>
            <w:vAlign w:val="bottom"/>
            <w:shd w:val="clear" w:color="auto" w:fill="E6E6E6"/>
          </w:tcPr>
          <w:p>
            <w:pPr>
              <w:spacing w:after="0"/>
              <w:rPr>
                <w:sz w:val="24"/>
                <w:szCs w:val="24"/>
                <w:color w:val="auto"/>
              </w:rPr>
            </w:pPr>
          </w:p>
        </w:tc>
        <w:tc>
          <w:tcPr>
            <w:tcW w:w="3660" w:type="dxa"/>
            <w:vAlign w:val="bottom"/>
            <w:gridSpan w:val="3"/>
            <w:shd w:val="clear" w:color="auto" w:fill="E6E6E6"/>
          </w:tcPr>
          <w:p>
            <w:pPr>
              <w:spacing w:after="0"/>
              <w:rPr>
                <w:sz w:val="20"/>
                <w:szCs w:val="20"/>
                <w:color w:val="auto"/>
              </w:rPr>
            </w:pPr>
            <w:r>
              <w:rPr>
                <w:rFonts w:ascii="Arial" w:cs="Arial" w:eastAsia="Arial" w:hAnsi="Arial"/>
                <w:sz w:val="20"/>
                <w:szCs w:val="20"/>
                <w:color w:val="auto"/>
              </w:rPr>
              <w:t>Technical Services</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1,495,264</w:t>
            </w:r>
          </w:p>
        </w:tc>
        <w:tc>
          <w:tcPr>
            <w:tcW w:w="30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400" w:type="dxa"/>
            <w:vAlign w:val="bottom"/>
            <w:gridSpan w:val="4"/>
            <w:shd w:val="clear" w:color="auto" w:fill="E6E6E6"/>
          </w:tcPr>
          <w:p>
            <w:pPr>
              <w:jc w:val="right"/>
              <w:ind w:right="101"/>
              <w:spacing w:after="0"/>
              <w:rPr>
                <w:sz w:val="20"/>
                <w:szCs w:val="20"/>
                <w:color w:val="auto"/>
              </w:rPr>
            </w:pPr>
            <w:r>
              <w:rPr>
                <w:rFonts w:ascii="Arial" w:cs="Arial" w:eastAsia="Arial" w:hAnsi="Arial"/>
                <w:sz w:val="20"/>
                <w:szCs w:val="20"/>
                <w:color w:val="auto"/>
              </w:rPr>
              <w:t>$</w:t>
            </w:r>
          </w:p>
        </w:tc>
        <w:tc>
          <w:tcPr>
            <w:tcW w:w="132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400" w:type="dxa"/>
            <w:vAlign w:val="bottom"/>
            <w:gridSpan w:val="2"/>
            <w:shd w:val="clear" w:color="auto" w:fill="E6E6E6"/>
          </w:tcPr>
          <w:p>
            <w:pPr>
              <w:jc w:val="right"/>
              <w:ind w:right="181"/>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1,495,264</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20"/>
                <w:szCs w:val="20"/>
                <w:color w:val="auto"/>
              </w:rPr>
              <w:t>Industrial Services and Other</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1,311,072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1,311,579</w:t>
            </w:r>
          </w:p>
        </w:tc>
        <w:tc>
          <w:tcPr>
            <w:tcW w:w="0" w:type="dxa"/>
            <w:vAlign w:val="bottom"/>
          </w:tcPr>
          <w:p>
            <w:pPr>
              <w:spacing w:after="0"/>
              <w:rPr>
                <w:sz w:val="1"/>
                <w:szCs w:val="1"/>
                <w:color w:val="auto"/>
              </w:rPr>
            </w:pPr>
          </w:p>
        </w:tc>
      </w:tr>
      <w:tr>
        <w:trPr>
          <w:trHeight w:val="287"/>
        </w:trPr>
        <w:tc>
          <w:tcPr>
            <w:tcW w:w="60" w:type="dxa"/>
            <w:vAlign w:val="bottom"/>
            <w:shd w:val="clear" w:color="auto" w:fill="E6E6E6"/>
          </w:tcPr>
          <w:p>
            <w:pPr>
              <w:spacing w:after="0"/>
              <w:rPr>
                <w:sz w:val="24"/>
                <w:szCs w:val="24"/>
                <w:color w:val="auto"/>
              </w:rPr>
            </w:pPr>
          </w:p>
        </w:tc>
        <w:tc>
          <w:tcPr>
            <w:tcW w:w="3660" w:type="dxa"/>
            <w:vAlign w:val="bottom"/>
            <w:gridSpan w:val="3"/>
            <w:shd w:val="clear" w:color="auto" w:fill="E6E6E6"/>
          </w:tcPr>
          <w:p>
            <w:pPr>
              <w:spacing w:after="0"/>
              <w:rPr>
                <w:sz w:val="20"/>
                <w:szCs w:val="20"/>
                <w:color w:val="auto"/>
              </w:rPr>
            </w:pPr>
            <w:r>
              <w:rPr>
                <w:rFonts w:ascii="Arial" w:cs="Arial" w:eastAsia="Arial" w:hAnsi="Arial"/>
                <w:sz w:val="20"/>
                <w:szCs w:val="20"/>
                <w:color w:val="auto"/>
                <w:w w:val="99"/>
              </w:rPr>
              <w:t>Field and Emergency Response Services</w:t>
            </w:r>
          </w:p>
        </w:tc>
        <w:tc>
          <w:tcPr>
            <w:tcW w:w="20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575,300</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32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4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575,300</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20"/>
                <w:szCs w:val="20"/>
                <w:color w:val="auto"/>
              </w:rPr>
              <w:t>Safety-Kleen Environmental Services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763,337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199,360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962,697</w:t>
            </w:r>
          </w:p>
        </w:tc>
        <w:tc>
          <w:tcPr>
            <w:tcW w:w="0" w:type="dxa"/>
            <w:vAlign w:val="bottom"/>
          </w:tcPr>
          <w:p>
            <w:pPr>
              <w:spacing w:after="0"/>
              <w:rPr>
                <w:sz w:val="1"/>
                <w:szCs w:val="1"/>
                <w:color w:val="auto"/>
              </w:rPr>
            </w:pPr>
          </w:p>
        </w:tc>
      </w:tr>
      <w:tr>
        <w:trPr>
          <w:trHeight w:val="296"/>
        </w:trPr>
        <w:tc>
          <w:tcPr>
            <w:tcW w:w="60" w:type="dxa"/>
            <w:vAlign w:val="bottom"/>
            <w:tcBorders>
              <w:bottom w:val="single" w:sz="8" w:color="E6E6E6"/>
            </w:tcBorders>
            <w:shd w:val="clear" w:color="auto" w:fill="E6E6E6"/>
          </w:tcPr>
          <w:p>
            <w:pPr>
              <w:spacing w:after="0"/>
              <w:rPr>
                <w:sz w:val="24"/>
                <w:szCs w:val="24"/>
                <w:color w:val="auto"/>
              </w:rPr>
            </w:pPr>
          </w:p>
        </w:tc>
        <w:tc>
          <w:tcPr>
            <w:tcW w:w="366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20"/>
                <w:szCs w:val="20"/>
                <w:color w:val="auto"/>
              </w:rPr>
              <w:t>Safety-Kleen Oil</w:t>
            </w:r>
          </w:p>
        </w:tc>
        <w:tc>
          <w:tcPr>
            <w:tcW w:w="20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821,765</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auto"/>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E6E6E6"/>
            </w:tcBorders>
            <w:gridSpan w:val="2"/>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821,765</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3660" w:type="dxa"/>
            <w:vAlign w:val="bottom"/>
            <w:gridSpan w:val="3"/>
          </w:tcPr>
          <w:p>
            <w:pPr>
              <w:spacing w:after="0" w:line="222" w:lineRule="exact"/>
              <w:rPr>
                <w:sz w:val="20"/>
                <w:szCs w:val="20"/>
                <w:color w:val="auto"/>
              </w:rPr>
            </w:pPr>
            <w:r>
              <w:rPr>
                <w:rFonts w:ascii="Arial" w:cs="Arial" w:eastAsia="Arial" w:hAnsi="Arial"/>
                <w:sz w:val="20"/>
                <w:szCs w:val="20"/>
                <w:color w:val="auto"/>
              </w:rPr>
              <w:t>Total third-party revenues</w:t>
            </w:r>
          </w:p>
        </w:tc>
        <w:tc>
          <w:tcPr>
            <w:tcW w:w="20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222" w:lineRule="exact"/>
              <w:rPr>
                <w:sz w:val="20"/>
                <w:szCs w:val="20"/>
                <w:color w:val="auto"/>
              </w:rPr>
            </w:pPr>
            <w:r>
              <w:rPr>
                <w:rFonts w:ascii="Arial" w:cs="Arial" w:eastAsia="Arial" w:hAnsi="Arial"/>
                <w:sz w:val="20"/>
                <w:szCs w:val="20"/>
                <w:color w:val="auto"/>
              </w:rPr>
              <w:t>4,144,973</w:t>
            </w:r>
          </w:p>
        </w:tc>
        <w:tc>
          <w:tcPr>
            <w:tcW w:w="3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22" w:lineRule="exact"/>
              <w:rPr>
                <w:sz w:val="20"/>
                <w:szCs w:val="20"/>
                <w:color w:val="auto"/>
              </w:rPr>
            </w:pPr>
            <w:r>
              <w:rPr>
                <w:rFonts w:ascii="Arial" w:cs="Arial" w:eastAsia="Arial" w:hAnsi="Arial"/>
                <w:sz w:val="20"/>
                <w:szCs w:val="20"/>
                <w:color w:val="auto"/>
              </w:rPr>
              <w:t>1,021,125</w:t>
            </w:r>
          </w:p>
        </w:tc>
        <w:tc>
          <w:tcPr>
            <w:tcW w:w="400" w:type="dxa"/>
            <w:vAlign w:val="bottom"/>
            <w:gridSpan w:val="4"/>
          </w:tcPr>
          <w:p>
            <w:pPr>
              <w:jc w:val="right"/>
              <w:ind w:right="101"/>
              <w:spacing w:after="0" w:line="222"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22" w:lineRule="exact"/>
              <w:rPr>
                <w:sz w:val="20"/>
                <w:szCs w:val="20"/>
                <w:color w:val="auto"/>
              </w:rPr>
            </w:pPr>
            <w:r>
              <w:rPr>
                <w:rFonts w:ascii="Arial" w:cs="Arial" w:eastAsia="Arial" w:hAnsi="Arial"/>
                <w:sz w:val="20"/>
                <w:szCs w:val="20"/>
                <w:color w:val="auto"/>
              </w:rPr>
              <w:t>507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jc w:val="right"/>
              <w:ind w:right="181"/>
              <w:spacing w:after="0" w:line="222" w:lineRule="exact"/>
              <w:rPr>
                <w:sz w:val="20"/>
                <w:szCs w:val="20"/>
                <w:color w:val="auto"/>
              </w:rPr>
            </w:pPr>
            <w:r>
              <w:rPr>
                <w:rFonts w:ascii="Arial" w:cs="Arial" w:eastAsia="Arial" w:hAnsi="Arial"/>
                <w:sz w:val="20"/>
                <w:szCs w:val="20"/>
                <w:color w:val="auto"/>
              </w:rPr>
              <w:t>$</w:t>
            </w:r>
          </w:p>
        </w:tc>
        <w:tc>
          <w:tcPr>
            <w:tcW w:w="1180" w:type="dxa"/>
            <w:vAlign w:val="bottom"/>
          </w:tcPr>
          <w:p>
            <w:pPr>
              <w:jc w:val="right"/>
              <w:spacing w:after="0" w:line="222" w:lineRule="exact"/>
              <w:rPr>
                <w:sz w:val="20"/>
                <w:szCs w:val="20"/>
                <w:color w:val="auto"/>
              </w:rPr>
            </w:pPr>
            <w:r>
              <w:rPr>
                <w:rFonts w:ascii="Arial" w:cs="Arial" w:eastAsia="Arial" w:hAnsi="Arial"/>
                <w:sz w:val="20"/>
                <w:szCs w:val="20"/>
                <w:color w:val="auto"/>
              </w:rPr>
              <w:t>5,166,605</w:t>
            </w:r>
          </w:p>
        </w:tc>
        <w:tc>
          <w:tcPr>
            <w:tcW w:w="0" w:type="dxa"/>
            <w:vAlign w:val="bottom"/>
          </w:tcPr>
          <w:p>
            <w:pPr>
              <w:spacing w:after="0"/>
              <w:rPr>
                <w:sz w:val="1"/>
                <w:szCs w:val="1"/>
                <w:color w:val="auto"/>
              </w:rPr>
            </w:pPr>
          </w:p>
        </w:tc>
      </w:tr>
      <w:tr>
        <w:trPr>
          <w:trHeight w:val="20"/>
        </w:trPr>
        <w:tc>
          <w:tcPr>
            <w:tcW w:w="372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Contract Balances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72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95"/>
              </w:rPr>
              <w:t>December 31, 2024</w:t>
            </w:r>
          </w:p>
        </w:tc>
        <w:tc>
          <w:tcPr>
            <w:tcW w:w="4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15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6"/>
                <w:szCs w:val="16"/>
                <w:b w:val="1"/>
                <w:bCs w:val="1"/>
                <w:color w:val="auto"/>
                <w:w w:val="95"/>
              </w:rPr>
              <w:t>December 31, 2023</w:t>
            </w:r>
          </w:p>
        </w:tc>
        <w:tc>
          <w:tcPr>
            <w:tcW w:w="0" w:type="dxa"/>
            <w:vAlign w:val="bottom"/>
          </w:tcPr>
          <w:p>
            <w:pPr>
              <w:spacing w:after="0"/>
              <w:rPr>
                <w:sz w:val="1"/>
                <w:szCs w:val="1"/>
                <w:color w:val="auto"/>
              </w:rPr>
            </w:pPr>
          </w:p>
        </w:tc>
      </w:tr>
      <w:tr>
        <w:trPr>
          <w:trHeight w:val="271"/>
        </w:trPr>
        <w:tc>
          <w:tcPr>
            <w:tcW w:w="60" w:type="dxa"/>
            <w:vAlign w:val="bottom"/>
            <w:shd w:val="clear" w:color="auto" w:fill="E6E6E6"/>
          </w:tcPr>
          <w:p>
            <w:pPr>
              <w:spacing w:after="0"/>
              <w:rPr>
                <w:sz w:val="23"/>
                <w:szCs w:val="23"/>
                <w:color w:val="auto"/>
              </w:rPr>
            </w:pPr>
          </w:p>
        </w:tc>
        <w:tc>
          <w:tcPr>
            <w:tcW w:w="3660" w:type="dxa"/>
            <w:vAlign w:val="bottom"/>
            <w:gridSpan w:val="3"/>
            <w:shd w:val="clear" w:color="auto" w:fill="E6E6E6"/>
          </w:tcPr>
          <w:p>
            <w:pPr>
              <w:spacing w:after="0"/>
              <w:rPr>
                <w:sz w:val="20"/>
                <w:szCs w:val="20"/>
                <w:color w:val="auto"/>
              </w:rPr>
            </w:pPr>
            <w:r>
              <w:rPr>
                <w:rFonts w:ascii="Arial" w:cs="Arial" w:eastAsia="Arial" w:hAnsi="Arial"/>
                <w:sz w:val="20"/>
                <w:szCs w:val="20"/>
                <w:color w:val="auto"/>
              </w:rPr>
              <w:t>Receivables</w:t>
            </w:r>
          </w:p>
        </w:tc>
        <w:tc>
          <w:tcPr>
            <w:tcW w:w="200" w:type="dxa"/>
            <w:vAlign w:val="bottom"/>
            <w:shd w:val="clear" w:color="auto" w:fill="E6E6E6"/>
          </w:tcPr>
          <w:p>
            <w:pPr>
              <w:spacing w:after="0"/>
              <w:rPr>
                <w:sz w:val="23"/>
                <w:szCs w:val="23"/>
                <w:color w:val="auto"/>
              </w:rPr>
            </w:pPr>
          </w:p>
        </w:tc>
        <w:tc>
          <w:tcPr>
            <w:tcW w:w="12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1320" w:type="dxa"/>
            <w:vAlign w:val="bottom"/>
            <w:shd w:val="clear" w:color="auto" w:fill="E6E6E6"/>
          </w:tcPr>
          <w:p>
            <w:pPr>
              <w:spacing w:after="0"/>
              <w:rPr>
                <w:sz w:val="23"/>
                <w:szCs w:val="23"/>
                <w:color w:val="auto"/>
              </w:rPr>
            </w:pPr>
          </w:p>
        </w:tc>
        <w:tc>
          <w:tcPr>
            <w:tcW w:w="400" w:type="dxa"/>
            <w:vAlign w:val="bottom"/>
            <w:gridSpan w:val="4"/>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1,015,357</w:t>
            </w:r>
          </w:p>
        </w:tc>
        <w:tc>
          <w:tcPr>
            <w:tcW w:w="40" w:type="dxa"/>
            <w:vAlign w:val="bottom"/>
            <w:shd w:val="clear" w:color="auto" w:fill="E6E6E6"/>
          </w:tcPr>
          <w:p>
            <w:pPr>
              <w:spacing w:after="0"/>
              <w:rPr>
                <w:sz w:val="23"/>
                <w:szCs w:val="23"/>
                <w:color w:val="auto"/>
              </w:rPr>
            </w:pPr>
          </w:p>
        </w:tc>
        <w:tc>
          <w:tcPr>
            <w:tcW w:w="400" w:type="dxa"/>
            <w:vAlign w:val="bottom"/>
            <w:gridSpan w:val="2"/>
            <w:shd w:val="clear" w:color="auto" w:fill="E6E6E6"/>
          </w:tcPr>
          <w:p>
            <w:pPr>
              <w:jc w:val="right"/>
              <w:ind w:right="141"/>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983,111</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Arial" w:cs="Arial" w:eastAsia="Arial" w:hAnsi="Arial"/>
                <w:sz w:val="20"/>
                <w:szCs w:val="20"/>
                <w:color w:val="auto"/>
              </w:rPr>
              <w:t>Contract assets (unbilled receivables)</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color w:val="auto"/>
              </w:rPr>
              <w:t>162,215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107,859</w:t>
            </w:r>
          </w:p>
        </w:tc>
        <w:tc>
          <w:tcPr>
            <w:tcW w:w="0" w:type="dxa"/>
            <w:vAlign w:val="bottom"/>
          </w:tcPr>
          <w:p>
            <w:pPr>
              <w:spacing w:after="0"/>
              <w:rPr>
                <w:sz w:val="1"/>
                <w:szCs w:val="1"/>
                <w:color w:val="auto"/>
              </w:rPr>
            </w:pPr>
          </w:p>
        </w:tc>
      </w:tr>
      <w:tr>
        <w:trPr>
          <w:trHeight w:val="287"/>
        </w:trPr>
        <w:tc>
          <w:tcPr>
            <w:tcW w:w="60" w:type="dxa"/>
            <w:vAlign w:val="bottom"/>
            <w:shd w:val="clear" w:color="auto" w:fill="E6E6E6"/>
          </w:tcPr>
          <w:p>
            <w:pPr>
              <w:spacing w:after="0"/>
              <w:rPr>
                <w:sz w:val="24"/>
                <w:szCs w:val="24"/>
                <w:color w:val="auto"/>
              </w:rPr>
            </w:pPr>
          </w:p>
        </w:tc>
        <w:tc>
          <w:tcPr>
            <w:tcW w:w="3660" w:type="dxa"/>
            <w:vAlign w:val="bottom"/>
            <w:gridSpan w:val="3"/>
            <w:shd w:val="clear" w:color="auto" w:fill="E6E6E6"/>
          </w:tcPr>
          <w:p>
            <w:pPr>
              <w:spacing w:after="0"/>
              <w:rPr>
                <w:sz w:val="20"/>
                <w:szCs w:val="20"/>
                <w:color w:val="auto"/>
              </w:rPr>
            </w:pPr>
            <w:r>
              <w:rPr>
                <w:rFonts w:ascii="Arial" w:cs="Arial" w:eastAsia="Arial" w:hAnsi="Arial"/>
                <w:sz w:val="20"/>
                <w:szCs w:val="20"/>
                <w:color w:val="auto"/>
              </w:rPr>
              <w:t>Contract liabilities (deferred revenue)</w:t>
            </w:r>
          </w:p>
        </w:tc>
        <w:tc>
          <w:tcPr>
            <w:tcW w:w="20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3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88,545</w:t>
            </w:r>
          </w:p>
        </w:tc>
        <w:tc>
          <w:tcPr>
            <w:tcW w:w="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95,230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-2576195</wp:posOffset>
            </wp:positionV>
            <wp:extent cx="4087495" cy="5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87495" cy="50165"/>
                    </a:xfrm>
                    <a:prstGeom prst="rect">
                      <a:avLst/>
                    </a:prstGeom>
                    <a:noFill/>
                  </pic:spPr>
                </pic:pic>
              </a:graphicData>
            </a:graphic>
          </wp:anchor>
        </w:drawing>
        <w:drawing>
          <wp:anchor simplePos="0" relativeHeight="251657728" behindDoc="1" locked="0" layoutInCell="0" allowOverlap="1">
            <wp:simplePos x="0" y="0"/>
            <wp:positionH relativeFrom="column">
              <wp:posOffset>2346960</wp:posOffset>
            </wp:positionH>
            <wp:positionV relativeFrom="paragraph">
              <wp:posOffset>-1149985</wp:posOffset>
            </wp:positionV>
            <wp:extent cx="4087495" cy="50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87495" cy="50165"/>
                    </a:xfrm>
                    <a:prstGeom prst="rect">
                      <a:avLst/>
                    </a:prstGeom>
                    <a:noFill/>
                  </pic:spPr>
                </pic:pic>
              </a:graphicData>
            </a:graphic>
          </wp:anchor>
        </w:drawing>
      </w:r>
    </w:p>
    <w:p>
      <w:pPr>
        <w:spacing w:after="0" w:line="174" w:lineRule="exact"/>
        <w:rPr>
          <w:sz w:val="20"/>
          <w:szCs w:val="20"/>
          <w:color w:val="auto"/>
        </w:rPr>
      </w:pPr>
    </w:p>
    <w:p>
      <w:pPr>
        <w:ind w:right="20" w:firstLine="709"/>
        <w:spacing w:after="0" w:line="324"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are generally fully recognized in the subsequent three-month period.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Variable Consideration</w:t>
      </w:r>
    </w:p>
    <w:p>
      <w:pPr>
        <w:spacing w:after="0" w:line="171" w:lineRule="exact"/>
        <w:rPr>
          <w:sz w:val="20"/>
          <w:szCs w:val="20"/>
          <w:color w:val="auto"/>
        </w:rPr>
      </w:pPr>
    </w:p>
    <w:p>
      <w:pPr>
        <w:ind w:right="120" w:firstLine="709"/>
        <w:spacing w:after="0" w:line="324" w:lineRule="auto"/>
        <w:rPr>
          <w:sz w:val="20"/>
          <w:szCs w:val="20"/>
          <w:color w:val="auto"/>
        </w:rPr>
      </w:pPr>
      <w:r>
        <w:rPr>
          <w:rFonts w:ascii="Arial" w:cs="Arial" w:eastAsia="Arial" w:hAnsi="Arial"/>
          <w:sz w:val="16"/>
          <w:szCs w:val="16"/>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included in the estimated transaction price based on historical experience, anticipated performance and management's best judgment at the time. The Company includes estimated amounts in the transaction price to the extent it is probable that a significant reversal of cumulative revenue recognized will not occur when the uncertainty associated with the variable consideration is resolved. There have been no material changes in estimates of variable consideration in the periods presented.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 Costs</w:t>
      </w:r>
    </w:p>
    <w:p>
      <w:pPr>
        <w:spacing w:after="0" w:line="171" w:lineRule="exact"/>
        <w:rPr>
          <w:sz w:val="20"/>
          <w:szCs w:val="20"/>
          <w:color w:val="auto"/>
        </w:rPr>
      </w:pPr>
    </w:p>
    <w:p>
      <w:pPr>
        <w:ind w:right="60" w:firstLine="709"/>
        <w:spacing w:after="0" w:line="254" w:lineRule="auto"/>
        <w:rPr>
          <w:sz w:val="20"/>
          <w:szCs w:val="20"/>
          <w:color w:val="auto"/>
        </w:rPr>
      </w:pPr>
      <w:r>
        <w:rPr>
          <w:rFonts w:ascii="Arial" w:cs="Arial" w:eastAsia="Arial" w:hAnsi="Arial"/>
          <w:sz w:val="20"/>
          <w:szCs w:val="20"/>
          <w:color w:val="auto"/>
        </w:rPr>
        <w:t>Contract costs include direct and incremental costs to obtain or fulfill a contract. Parts washer costs include costs of solvent, commissions paid relating to revenue generated from parts washer services, and transportation costs associated with transferring the product picked up from the service as it is brought to the Company’s facilities or third-party sites. Costs related to the treatment of waste include costs for waste receiving, drum movement and storage, waste consolidation and transportation between facilities.</w:t>
      </w:r>
    </w:p>
    <w:p>
      <w:pPr>
        <w:spacing w:after="0" w:line="123" w:lineRule="exact"/>
        <w:rPr>
          <w:sz w:val="20"/>
          <w:szCs w:val="20"/>
          <w:color w:val="auto"/>
        </w:rPr>
      </w:pPr>
    </w:p>
    <w:p>
      <w:pPr>
        <w:ind w:right="80" w:firstLine="709"/>
        <w:spacing w:after="0" w:line="332" w:lineRule="auto"/>
        <w:rPr>
          <w:sz w:val="20"/>
          <w:szCs w:val="20"/>
          <w:color w:val="auto"/>
        </w:rPr>
      </w:pPr>
      <w:r>
        <w:rPr>
          <w:rFonts w:ascii="Arial" w:cs="Arial" w:eastAsia="Arial" w:hAnsi="Arial"/>
          <w:sz w:val="16"/>
          <w:szCs w:val="16"/>
          <w:color w:val="auto"/>
        </w:rPr>
        <w:t>The Company’s contract costs that are subject to capitalization are comprised of costs associated with parts washer services and with the treatment and disposal of waste. As of December 31, 2024 and 2023, the Company's deferred contract costs totaled $28.2 million and $29.9 million, respectively. Deferred parts washer costs are recognized over the service interval as the customer receives the benefit of the services, and deferred costs related to treatment and disposal of waste are recognized when the corresponding waste is disposed. Deferred costs are included within prepaid expenses and other current assets in the</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880" w:h="15480" w:orient="portrait"/>
          <w:cols w:equalWidth="0" w:num="1">
            <w:col w:w="10120"/>
          </w:cols>
          <w:pgMar w:left="880" w:top="338" w:right="880" w:bottom="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360"/>
        <w:spacing w:after="0" w:line="276" w:lineRule="auto"/>
        <w:rPr>
          <w:sz w:val="20"/>
          <w:szCs w:val="20"/>
          <w:color w:val="auto"/>
        </w:rPr>
      </w:pPr>
      <w:r>
        <w:rPr>
          <w:rFonts w:ascii="Arial" w:cs="Arial" w:eastAsia="Arial" w:hAnsi="Arial"/>
          <w:sz w:val="20"/>
          <w:szCs w:val="20"/>
          <w:color w:val="auto"/>
        </w:rPr>
        <w:t>Company’s consolidated balance sheets. The deferred contract cost balances at the beginning of each period presented were fully recognized in cost of revenue in the subsequent three-month period.</w:t>
      </w:r>
    </w:p>
    <w:p>
      <w:pPr>
        <w:spacing w:after="0" w:line="95" w:lineRule="exact"/>
        <w:rPr>
          <w:sz w:val="20"/>
          <w:szCs w:val="20"/>
          <w:color w:val="auto"/>
        </w:rPr>
      </w:pPr>
    </w:p>
    <w:p>
      <w:pPr>
        <w:ind w:right="6540" w:firstLine="716"/>
        <w:spacing w:after="0" w:line="414" w:lineRule="auto"/>
        <w:tabs>
          <w:tab w:leader="none" w:pos="988"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BUSINESS COMBINATIONS </w:t>
      </w:r>
      <w:r>
        <w:rPr>
          <w:rFonts w:ascii="Arial" w:cs="Arial" w:eastAsia="Arial" w:hAnsi="Arial"/>
          <w:sz w:val="20"/>
          <w:szCs w:val="20"/>
          <w:b w:val="1"/>
          <w:bCs w:val="1"/>
          <w:i w:val="1"/>
          <w:iCs w:val="1"/>
          <w:color w:val="auto"/>
        </w:rPr>
        <w:t>2024 Acquisitions</w:t>
      </w:r>
    </w:p>
    <w:p>
      <w:pPr>
        <w:spacing w:after="0" w:line="1" w:lineRule="exact"/>
        <w:rPr>
          <w:sz w:val="20"/>
          <w:szCs w:val="20"/>
          <w:color w:val="auto"/>
        </w:rPr>
      </w:pPr>
    </w:p>
    <w:p>
      <w:pPr>
        <w:ind w:right="480" w:firstLine="709"/>
        <w:spacing w:after="0" w:line="261" w:lineRule="auto"/>
        <w:rPr>
          <w:sz w:val="20"/>
          <w:szCs w:val="20"/>
          <w:color w:val="auto"/>
        </w:rPr>
      </w:pPr>
      <w:r>
        <w:rPr>
          <w:rFonts w:ascii="Arial" w:cs="Arial" w:eastAsia="Arial" w:hAnsi="Arial"/>
          <w:sz w:val="20"/>
          <w:szCs w:val="20"/>
          <w:color w:val="auto"/>
        </w:rPr>
        <w:t>On March 22, 2024, the Company completed its acquisition of HEPACO for an all-cash purchase price of $392.2 million, net of cash acquired and after the settlement of working capital in the third quarter of 2024. The operations of HEPACO expand the Environmental Services segment’s field services business.</w:t>
      </w:r>
    </w:p>
    <w:p>
      <w:pPr>
        <w:spacing w:after="0" w:line="116" w:lineRule="exact"/>
        <w:rPr>
          <w:sz w:val="20"/>
          <w:szCs w:val="20"/>
          <w:color w:val="auto"/>
        </w:rPr>
      </w:pPr>
    </w:p>
    <w:p>
      <w:pPr>
        <w:ind w:right="80" w:firstLine="709"/>
        <w:spacing w:after="0" w:line="289" w:lineRule="auto"/>
        <w:rPr>
          <w:sz w:val="20"/>
          <w:szCs w:val="20"/>
          <w:color w:val="auto"/>
        </w:rPr>
      </w:pPr>
      <w:r>
        <w:rPr>
          <w:rFonts w:ascii="Arial" w:cs="Arial" w:eastAsia="Arial" w:hAnsi="Arial"/>
          <w:sz w:val="18"/>
          <w:szCs w:val="18"/>
          <w:color w:val="auto"/>
        </w:rPr>
        <w:t>The preliminary allocation of the purchase price is provisional and was based on estimates of the fair value of assets acquired and liabilities assumed as of March 22, 2024.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At Acquisition Date</w:t>
            </w:r>
          </w:p>
        </w:tc>
      </w:tr>
      <w:tr>
        <w:trPr>
          <w:trHeight w:val="213"/>
        </w:trPr>
        <w:tc>
          <w:tcPr>
            <w:tcW w:w="8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right="142"/>
              <w:spacing w:after="0"/>
              <w:rPr>
                <w:sz w:val="20"/>
                <w:szCs w:val="20"/>
                <w:color w:val="auto"/>
              </w:rPr>
            </w:pPr>
            <w:r>
              <w:rPr>
                <w:rFonts w:ascii="Arial" w:cs="Arial" w:eastAsia="Arial" w:hAnsi="Arial"/>
                <w:sz w:val="18"/>
                <w:szCs w:val="18"/>
                <w:b w:val="1"/>
                <w:bCs w:val="1"/>
                <w:color w:val="auto"/>
                <w:w w:val="87"/>
              </w:rPr>
              <w:t>As Reported</w:t>
            </w:r>
          </w:p>
        </w:tc>
      </w:tr>
      <w:tr>
        <w:trPr>
          <w:trHeight w:val="240"/>
        </w:trPr>
        <w:tc>
          <w:tcPr>
            <w:tcW w:w="8460" w:type="dxa"/>
            <w:vAlign w:val="bottom"/>
            <w:tcBorders>
              <w:bottom w:val="single" w:sz="8" w:color="E6E6E6"/>
            </w:tcBorders>
          </w:tcPr>
          <w:p>
            <w:pPr>
              <w:spacing w:after="0"/>
              <w:rPr>
                <w:sz w:val="20"/>
                <w:szCs w:val="20"/>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 2024</w:t>
            </w:r>
          </w:p>
        </w:tc>
      </w:tr>
      <w:tr>
        <w:trPr>
          <w:trHeight w:val="271"/>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Accounts receivable, including unbilled receivables</w:t>
            </w:r>
          </w:p>
        </w:tc>
        <w:tc>
          <w:tcPr>
            <w:tcW w:w="240" w:type="dxa"/>
            <w:vAlign w:val="bottom"/>
            <w:shd w:val="clear" w:color="auto" w:fill="E6E6E6"/>
          </w:tcPr>
          <w:p>
            <w:pPr>
              <w:jc w:val="right"/>
              <w:ind w:right="6"/>
              <w:spacing w:after="0"/>
              <w:rPr>
                <w:sz w:val="20"/>
                <w:szCs w:val="20"/>
                <w:color w:val="auto"/>
              </w:rPr>
            </w:pPr>
            <w:r>
              <w:rPr>
                <w:rFonts w:ascii="Arial" w:cs="Arial" w:eastAsia="Arial" w:hAnsi="Arial"/>
                <w:sz w:val="20"/>
                <w:szCs w:val="20"/>
                <w:color w:val="auto"/>
              </w:rPr>
              <w:t>$</w:t>
            </w: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69,072</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Inventories and supplies</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384</w:t>
            </w:r>
          </w:p>
        </w:tc>
      </w:tr>
      <w:tr>
        <w:trPr>
          <w:trHeight w:val="287"/>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Prepaid expenses and other current assets</w:t>
            </w:r>
          </w:p>
        </w:tc>
        <w:tc>
          <w:tcPr>
            <w:tcW w:w="2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4,383</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Property, plant and equipment</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47,125</w:t>
            </w:r>
          </w:p>
        </w:tc>
      </w:tr>
      <w:tr>
        <w:trPr>
          <w:trHeight w:val="287"/>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Permits and other intangibles</w:t>
            </w:r>
          </w:p>
        </w:tc>
        <w:tc>
          <w:tcPr>
            <w:tcW w:w="2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130,500</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Operating lease right-of-use assets</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9,385</w:t>
            </w:r>
          </w:p>
        </w:tc>
      </w:tr>
      <w:tr>
        <w:trPr>
          <w:trHeight w:val="287"/>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Other long-term assets</w:t>
            </w:r>
          </w:p>
        </w:tc>
        <w:tc>
          <w:tcPr>
            <w:tcW w:w="2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5,712</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Accounts payable</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(30,602)</w:t>
            </w:r>
          </w:p>
        </w:tc>
      </w:tr>
      <w:tr>
        <w:trPr>
          <w:trHeight w:val="287"/>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Accrued expenses and other current liabilities</w:t>
            </w:r>
          </w:p>
        </w:tc>
        <w:tc>
          <w:tcPr>
            <w:tcW w:w="2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(16,005)</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Current portion of operating lease liabilities</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(2,758)</w:t>
            </w:r>
          </w:p>
        </w:tc>
      </w:tr>
      <w:tr>
        <w:trPr>
          <w:trHeight w:val="287"/>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Operating lease liabilities, less current portion</w:t>
            </w:r>
          </w:p>
        </w:tc>
        <w:tc>
          <w:tcPr>
            <w:tcW w:w="2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(6,627)</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Closure and post-closure liabilities</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(2,492)</w:t>
            </w:r>
          </w:p>
        </w:tc>
      </w:tr>
      <w:tr>
        <w:trPr>
          <w:trHeight w:val="287"/>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Remedial liabilities</w:t>
            </w:r>
          </w:p>
        </w:tc>
        <w:tc>
          <w:tcPr>
            <w:tcW w:w="2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(2,435)</w:t>
            </w:r>
          </w:p>
        </w:tc>
      </w:tr>
      <w:tr>
        <w:trPr>
          <w:trHeight w:val="271"/>
        </w:trPr>
        <w:tc>
          <w:tcPr>
            <w:tcW w:w="84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Other long-term liabilities</w:t>
            </w:r>
          </w:p>
        </w:tc>
        <w:tc>
          <w:tcPr>
            <w:tcW w:w="2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(374)</w:t>
            </w:r>
          </w:p>
        </w:tc>
      </w:tr>
      <w:tr>
        <w:trPr>
          <w:trHeight w:val="271"/>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Total identifiable net assets</w:t>
            </w:r>
          </w:p>
        </w:tc>
        <w:tc>
          <w:tcPr>
            <w:tcW w:w="240" w:type="dxa"/>
            <w:vAlign w:val="bottom"/>
            <w:shd w:val="clear" w:color="auto" w:fill="E6E6E6"/>
          </w:tcPr>
          <w:p>
            <w:pPr>
              <w:spacing w:after="0"/>
              <w:rPr>
                <w:sz w:val="23"/>
                <w:szCs w:val="23"/>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205,268</w:t>
            </w:r>
          </w:p>
        </w:tc>
      </w:tr>
      <w:tr>
        <w:trPr>
          <w:trHeight w:val="271"/>
        </w:trPr>
        <w:tc>
          <w:tcPr>
            <w:tcW w:w="84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Goodwill</w:t>
            </w:r>
          </w:p>
        </w:tc>
        <w:tc>
          <w:tcPr>
            <w:tcW w:w="2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186,911</w:t>
            </w:r>
          </w:p>
        </w:tc>
      </w:tr>
      <w:tr>
        <w:trPr>
          <w:trHeight w:val="280"/>
        </w:trPr>
        <w:tc>
          <w:tcPr>
            <w:tcW w:w="84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Total purchase price</w:t>
            </w:r>
          </w:p>
        </w:tc>
        <w:tc>
          <w:tcPr>
            <w:tcW w:w="240" w:type="dxa"/>
            <w:vAlign w:val="bottom"/>
            <w:tcBorders>
              <w:bottom w:val="single" w:sz="8" w:color="auto"/>
            </w:tcBorders>
            <w:shd w:val="clear" w:color="auto" w:fill="E6E6E6"/>
          </w:tcPr>
          <w:p>
            <w:pPr>
              <w:jc w:val="right"/>
              <w:ind w:right="6"/>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392,179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5358130</wp:posOffset>
            </wp:positionH>
            <wp:positionV relativeFrom="paragraph">
              <wp:posOffset>-43180</wp:posOffset>
            </wp:positionV>
            <wp:extent cx="1076325" cy="50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76325" cy="50165"/>
                    </a:xfrm>
                    <a:prstGeom prst="rect">
                      <a:avLst/>
                    </a:prstGeom>
                    <a:noFill/>
                  </pic:spPr>
                </pic:pic>
              </a:graphicData>
            </a:graphic>
          </wp:anchor>
        </w:drawing>
      </w:r>
    </w:p>
    <w:p>
      <w:pPr>
        <w:spacing w:after="0" w:line="145" w:lineRule="exact"/>
        <w:rPr>
          <w:sz w:val="20"/>
          <w:szCs w:val="20"/>
          <w:color w:val="auto"/>
        </w:rPr>
      </w:pPr>
    </w:p>
    <w:p>
      <w:pPr>
        <w:ind w:right="20" w:firstLine="709"/>
        <w:spacing w:after="0" w:line="286" w:lineRule="auto"/>
        <w:rPr>
          <w:sz w:val="20"/>
          <w:szCs w:val="20"/>
          <w:color w:val="auto"/>
        </w:rPr>
      </w:pPr>
      <w:r>
        <w:rPr>
          <w:rFonts w:ascii="Arial" w:cs="Arial" w:eastAsia="Arial" w:hAnsi="Arial"/>
          <w:sz w:val="18"/>
          <w:szCs w:val="18"/>
          <w:color w:val="auto"/>
        </w:rPr>
        <w:t>Other intangible assets acquired include customer relationships and trademarks/trade names and are anticipated to have estimated useful lives of between seven and 20 years with a weighted average useful life of approximately 19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assembled workforce and growth potential that the Company expects to realize from the acquisition. Goodwill generated from the acquisition is not deductible for tax purposes.</w:t>
      </w:r>
    </w:p>
    <w:p>
      <w:pPr>
        <w:spacing w:after="0" w:line="96" w:lineRule="exact"/>
        <w:rPr>
          <w:sz w:val="20"/>
          <w:szCs w:val="20"/>
          <w:color w:val="auto"/>
        </w:rPr>
      </w:pPr>
    </w:p>
    <w:p>
      <w:pPr>
        <w:jc w:val="both"/>
        <w:ind w:right="460" w:firstLine="709"/>
        <w:spacing w:after="0" w:line="261" w:lineRule="auto"/>
        <w:rPr>
          <w:sz w:val="20"/>
          <w:szCs w:val="20"/>
          <w:color w:val="auto"/>
        </w:rPr>
      </w:pPr>
      <w:r>
        <w:rPr>
          <w:rFonts w:ascii="Arial" w:cs="Arial" w:eastAsia="Arial" w:hAnsi="Arial"/>
          <w:sz w:val="20"/>
          <w:szCs w:val="20"/>
          <w:color w:val="auto"/>
        </w:rPr>
        <w:t>The operations included in the Company’s financial statements for the period ended December 31, 2024, and pro forma revenue and earnings amounts on a combined basis as if this acquisition had been completed on January 1, 2023 are immaterial to the consolidated financial statements of the Company.</w:t>
      </w:r>
    </w:p>
    <w:p>
      <w:pPr>
        <w:spacing w:after="0" w:line="116" w:lineRule="exact"/>
        <w:rPr>
          <w:sz w:val="20"/>
          <w:szCs w:val="20"/>
          <w:color w:val="auto"/>
        </w:rPr>
      </w:pPr>
    </w:p>
    <w:p>
      <w:pPr>
        <w:ind w:right="20" w:firstLine="709"/>
        <w:spacing w:after="0" w:line="293" w:lineRule="auto"/>
        <w:rPr>
          <w:sz w:val="20"/>
          <w:szCs w:val="20"/>
          <w:color w:val="auto"/>
        </w:rPr>
      </w:pPr>
      <w:r>
        <w:rPr>
          <w:rFonts w:ascii="Arial" w:cs="Arial" w:eastAsia="Arial" w:hAnsi="Arial"/>
          <w:sz w:val="18"/>
          <w:szCs w:val="18"/>
          <w:color w:val="auto"/>
        </w:rPr>
        <w:t>On March 1, 2024, the Company acquired Noble Oil Services, Inc. and its subsidiaries (collectively “Noble”) for an all-cash purchase price of $68.7 million, net of cash acquired and after the settlement of working capital in the second quarter of 2024. The acquisition of Noble expands the SKSS segment’s oil collection operations in the southeastern region of the United States while also adding incremental production from the re-refinery owned and operated by the acquired company.</w:t>
      </w:r>
    </w:p>
    <w:p>
      <w:pPr>
        <w:spacing w:after="0" w:line="92" w:lineRule="exact"/>
        <w:rPr>
          <w:sz w:val="20"/>
          <w:szCs w:val="20"/>
          <w:color w:val="auto"/>
        </w:rPr>
      </w:pPr>
    </w:p>
    <w:p>
      <w:pPr>
        <w:ind w:right="180" w:firstLine="709"/>
        <w:spacing w:after="0" w:line="405" w:lineRule="auto"/>
        <w:rPr>
          <w:sz w:val="20"/>
          <w:szCs w:val="20"/>
          <w:color w:val="auto"/>
        </w:rPr>
      </w:pPr>
      <w:r>
        <w:rPr>
          <w:rFonts w:ascii="Arial" w:cs="Arial" w:eastAsia="Arial" w:hAnsi="Arial"/>
          <w:sz w:val="16"/>
          <w:szCs w:val="16"/>
          <w:color w:val="auto"/>
        </w:rPr>
        <w:t>The preliminary allocation of the purchase price is provisional and was based on estimates of the fair value of assets acquired and liabilities assumed as of March 1, 2024. The Company continues to obtain information to complete the valuation</w:t>
      </w:r>
    </w:p>
    <w:p>
      <w:pPr>
        <w:sectPr>
          <w:pgSz w:w="11880" w:h="15480" w:orient="portrait"/>
          <w:cols w:equalWidth="0" w:num="1">
            <w:col w:w="10120"/>
          </w:cols>
          <w:pgMar w:left="880" w:top="338" w:right="880" w:bottom="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880" w:h="15480" w:orient="portrait"/>
          <w:cols w:equalWidth="0" w:num="1">
            <w:col w:w="10120"/>
          </w:cols>
          <w:pgMar w:left="880" w:top="338" w:right="880" w:bottom="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180"/>
        <w:spacing w:after="0" w:line="281" w:lineRule="auto"/>
        <w:rPr>
          <w:sz w:val="20"/>
          <w:szCs w:val="20"/>
          <w:color w:val="auto"/>
        </w:rPr>
      </w:pPr>
      <w:r>
        <w:rPr>
          <w:rFonts w:ascii="Arial" w:cs="Arial" w:eastAsia="Arial" w:hAnsi="Arial"/>
          <w:sz w:val="19"/>
          <w:szCs w:val="19"/>
          <w:color w:val="auto"/>
        </w:rPr>
        <w:t>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At Acquisition Date</w:t>
            </w:r>
          </w:p>
        </w:tc>
      </w:tr>
      <w:tr>
        <w:trPr>
          <w:trHeight w:val="213"/>
        </w:trPr>
        <w:tc>
          <w:tcPr>
            <w:tcW w:w="8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right="142"/>
              <w:spacing w:after="0"/>
              <w:rPr>
                <w:sz w:val="20"/>
                <w:szCs w:val="20"/>
                <w:color w:val="auto"/>
              </w:rPr>
            </w:pPr>
            <w:r>
              <w:rPr>
                <w:rFonts w:ascii="Arial" w:cs="Arial" w:eastAsia="Arial" w:hAnsi="Arial"/>
                <w:sz w:val="18"/>
                <w:szCs w:val="18"/>
                <w:b w:val="1"/>
                <w:bCs w:val="1"/>
                <w:color w:val="auto"/>
                <w:w w:val="87"/>
              </w:rPr>
              <w:t>As Reported</w:t>
            </w:r>
          </w:p>
        </w:tc>
      </w:tr>
      <w:tr>
        <w:trPr>
          <w:trHeight w:val="240"/>
        </w:trPr>
        <w:tc>
          <w:tcPr>
            <w:tcW w:w="8460" w:type="dxa"/>
            <w:vAlign w:val="bottom"/>
            <w:tcBorders>
              <w:bottom w:val="single" w:sz="8" w:color="E6E6E6"/>
            </w:tcBorders>
          </w:tcPr>
          <w:p>
            <w:pPr>
              <w:spacing w:after="0"/>
              <w:rPr>
                <w:sz w:val="20"/>
                <w:szCs w:val="20"/>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 2024</w:t>
            </w:r>
          </w:p>
        </w:tc>
      </w:tr>
      <w:tr>
        <w:trPr>
          <w:trHeight w:val="271"/>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Accounts receivable, including unbilled receivables</w:t>
            </w:r>
          </w:p>
        </w:tc>
        <w:tc>
          <w:tcPr>
            <w:tcW w:w="240" w:type="dxa"/>
            <w:vAlign w:val="bottom"/>
            <w:shd w:val="clear" w:color="auto" w:fill="E6E6E6"/>
          </w:tcPr>
          <w:p>
            <w:pPr>
              <w:jc w:val="right"/>
              <w:ind w:right="6"/>
              <w:spacing w:after="0"/>
              <w:rPr>
                <w:sz w:val="20"/>
                <w:szCs w:val="20"/>
                <w:color w:val="auto"/>
              </w:rPr>
            </w:pPr>
            <w:r>
              <w:rPr>
                <w:rFonts w:ascii="Arial" w:cs="Arial" w:eastAsia="Arial" w:hAnsi="Arial"/>
                <w:sz w:val="20"/>
                <w:szCs w:val="20"/>
                <w:color w:val="auto"/>
              </w:rPr>
              <w:t>$</w:t>
            </w: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5,855</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Inventories and supplies</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6,598</w:t>
            </w:r>
          </w:p>
        </w:tc>
      </w:tr>
      <w:tr>
        <w:trPr>
          <w:trHeight w:val="287"/>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Prepaid expenses and other current assets</w:t>
            </w:r>
          </w:p>
        </w:tc>
        <w:tc>
          <w:tcPr>
            <w:tcW w:w="2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408</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Property, plant and equipment</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55,615</w:t>
            </w:r>
          </w:p>
        </w:tc>
      </w:tr>
      <w:tr>
        <w:trPr>
          <w:trHeight w:val="287"/>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Permits and other intangibles</w:t>
            </w:r>
          </w:p>
        </w:tc>
        <w:tc>
          <w:tcPr>
            <w:tcW w:w="2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14,500</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Operating lease right-of-use assets</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3,615</w:t>
            </w:r>
          </w:p>
        </w:tc>
      </w:tr>
      <w:tr>
        <w:trPr>
          <w:trHeight w:val="287"/>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Other long-term assets</w:t>
            </w:r>
          </w:p>
        </w:tc>
        <w:tc>
          <w:tcPr>
            <w:tcW w:w="2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92</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Accounts payable</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(7,752)</w:t>
            </w:r>
          </w:p>
        </w:tc>
      </w:tr>
      <w:tr>
        <w:trPr>
          <w:trHeight w:val="287"/>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Accrued expenses and other current liabilities</w:t>
            </w:r>
          </w:p>
        </w:tc>
        <w:tc>
          <w:tcPr>
            <w:tcW w:w="2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(1,145)</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Current portion of operating lease liabilities</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(1,823)</w:t>
            </w:r>
          </w:p>
        </w:tc>
      </w:tr>
      <w:tr>
        <w:trPr>
          <w:trHeight w:val="287"/>
        </w:trPr>
        <w:tc>
          <w:tcPr>
            <w:tcW w:w="8460" w:type="dxa"/>
            <w:vAlign w:val="bottom"/>
            <w:shd w:val="clear" w:color="auto" w:fill="E6E6E6"/>
          </w:tcPr>
          <w:p>
            <w:pPr>
              <w:ind w:left="60"/>
              <w:spacing w:after="0"/>
              <w:rPr>
                <w:sz w:val="20"/>
                <w:szCs w:val="20"/>
                <w:color w:val="auto"/>
              </w:rPr>
            </w:pPr>
            <w:r>
              <w:rPr>
                <w:rFonts w:ascii="Arial" w:cs="Arial" w:eastAsia="Arial" w:hAnsi="Arial"/>
                <w:sz w:val="20"/>
                <w:szCs w:val="20"/>
                <w:color w:val="auto"/>
              </w:rPr>
              <w:t>Operating lease liabilities, less current portion</w:t>
            </w:r>
          </w:p>
        </w:tc>
        <w:tc>
          <w:tcPr>
            <w:tcW w:w="2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(1,792)</w:t>
            </w:r>
          </w:p>
        </w:tc>
      </w:tr>
      <w:tr>
        <w:trPr>
          <w:trHeight w:val="275"/>
        </w:trPr>
        <w:tc>
          <w:tcPr>
            <w:tcW w:w="8460" w:type="dxa"/>
            <w:vAlign w:val="bottom"/>
          </w:tcPr>
          <w:p>
            <w:pPr>
              <w:ind w:left="60"/>
              <w:spacing w:after="0"/>
              <w:rPr>
                <w:sz w:val="20"/>
                <w:szCs w:val="20"/>
                <w:color w:val="auto"/>
              </w:rPr>
            </w:pPr>
            <w:r>
              <w:rPr>
                <w:rFonts w:ascii="Arial" w:cs="Arial" w:eastAsia="Arial" w:hAnsi="Arial"/>
                <w:sz w:val="20"/>
                <w:szCs w:val="20"/>
                <w:color w:val="auto"/>
              </w:rPr>
              <w:t>Closure and post-closure liabilities</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(8,929)</w:t>
            </w:r>
          </w:p>
        </w:tc>
      </w:tr>
      <w:tr>
        <w:trPr>
          <w:trHeight w:val="296"/>
        </w:trPr>
        <w:tc>
          <w:tcPr>
            <w:tcW w:w="84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Remedial liabilities</w:t>
            </w:r>
          </w:p>
        </w:tc>
        <w:tc>
          <w:tcPr>
            <w:tcW w:w="240" w:type="dxa"/>
            <w:vAlign w:val="bottom"/>
            <w:tcBorders>
              <w:bottom w:val="single" w:sz="8" w:color="auto"/>
            </w:tcBorders>
            <w:shd w:val="clear" w:color="auto" w:fill="E6E6E6"/>
          </w:tcPr>
          <w:p>
            <w:pPr>
              <w:spacing w:after="0"/>
              <w:rPr>
                <w:sz w:val="24"/>
                <w:szCs w:val="24"/>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(2,757)</w:t>
            </w:r>
          </w:p>
        </w:tc>
      </w:tr>
      <w:tr>
        <w:trPr>
          <w:trHeight w:val="245"/>
        </w:trPr>
        <w:tc>
          <w:tcPr>
            <w:tcW w:w="8460" w:type="dxa"/>
            <w:vAlign w:val="bottom"/>
          </w:tcPr>
          <w:p>
            <w:pPr>
              <w:ind w:left="60"/>
              <w:spacing w:after="0"/>
              <w:rPr>
                <w:sz w:val="20"/>
                <w:szCs w:val="20"/>
                <w:color w:val="auto"/>
              </w:rPr>
            </w:pPr>
            <w:r>
              <w:rPr>
                <w:rFonts w:ascii="Arial" w:cs="Arial" w:eastAsia="Arial" w:hAnsi="Arial"/>
                <w:sz w:val="20"/>
                <w:szCs w:val="20"/>
                <w:color w:val="auto"/>
              </w:rPr>
              <w:t>Total identifiable net assets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62,485</w:t>
            </w:r>
          </w:p>
        </w:tc>
      </w:tr>
      <w:tr>
        <w:trPr>
          <w:trHeight w:val="296"/>
        </w:trPr>
        <w:tc>
          <w:tcPr>
            <w:tcW w:w="84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Goodwill</w:t>
            </w:r>
          </w:p>
        </w:tc>
        <w:tc>
          <w:tcPr>
            <w:tcW w:w="240" w:type="dxa"/>
            <w:vAlign w:val="bottom"/>
            <w:tcBorders>
              <w:bottom w:val="single" w:sz="8" w:color="auto"/>
            </w:tcBorders>
            <w:shd w:val="clear" w:color="auto" w:fill="E6E6E6"/>
          </w:tcPr>
          <w:p>
            <w:pPr>
              <w:spacing w:after="0"/>
              <w:rPr>
                <w:sz w:val="24"/>
                <w:szCs w:val="24"/>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6,257</w:t>
            </w:r>
          </w:p>
        </w:tc>
      </w:tr>
      <w:tr>
        <w:trPr>
          <w:trHeight w:val="222"/>
        </w:trPr>
        <w:tc>
          <w:tcPr>
            <w:tcW w:w="8460" w:type="dxa"/>
            <w:vAlign w:val="bottom"/>
          </w:tcPr>
          <w:p>
            <w:pPr>
              <w:ind w:left="60"/>
              <w:spacing w:after="0" w:line="222" w:lineRule="exact"/>
              <w:rPr>
                <w:sz w:val="20"/>
                <w:szCs w:val="20"/>
                <w:color w:val="auto"/>
              </w:rPr>
            </w:pPr>
            <w:r>
              <w:rPr>
                <w:rFonts w:ascii="Arial" w:cs="Arial" w:eastAsia="Arial" w:hAnsi="Arial"/>
                <w:sz w:val="20"/>
                <w:szCs w:val="20"/>
                <w:color w:val="auto"/>
              </w:rPr>
              <w:t>Total purchase price</w:t>
            </w:r>
          </w:p>
        </w:tc>
        <w:tc>
          <w:tcPr>
            <w:tcW w:w="240" w:type="dxa"/>
            <w:vAlign w:val="bottom"/>
            <w:tcBorders>
              <w:bottom w:val="single" w:sz="8" w:color="auto"/>
            </w:tcBorders>
          </w:tcPr>
          <w:p>
            <w:pPr>
              <w:jc w:val="right"/>
              <w:ind w:right="6"/>
              <w:spacing w:after="0" w:line="222"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68,742</w:t>
            </w: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5358130</wp:posOffset>
            </wp:positionH>
            <wp:positionV relativeFrom="paragraph">
              <wp:posOffset>-43180</wp:posOffset>
            </wp:positionV>
            <wp:extent cx="1076325" cy="50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76325" cy="50165"/>
                    </a:xfrm>
                    <a:prstGeom prst="rect">
                      <a:avLst/>
                    </a:prstGeom>
                    <a:noFill/>
                  </pic:spPr>
                </pic:pic>
              </a:graphicData>
            </a:graphic>
          </wp:anchor>
        </w:drawing>
      </w:r>
    </w:p>
    <w:p>
      <w:pPr>
        <w:spacing w:after="0" w:line="145" w:lineRule="exact"/>
        <w:rPr>
          <w:sz w:val="20"/>
          <w:szCs w:val="20"/>
          <w:color w:val="auto"/>
        </w:rPr>
      </w:pPr>
    </w:p>
    <w:p>
      <w:pPr>
        <w:ind w:right="20" w:firstLine="709"/>
        <w:spacing w:after="0" w:line="268" w:lineRule="auto"/>
        <w:rPr>
          <w:sz w:val="20"/>
          <w:szCs w:val="20"/>
          <w:color w:val="auto"/>
        </w:rPr>
      </w:pPr>
      <w:r>
        <w:rPr>
          <w:rFonts w:ascii="Arial" w:cs="Arial" w:eastAsia="Arial" w:hAnsi="Arial"/>
          <w:sz w:val="19"/>
          <w:szCs w:val="19"/>
          <w:color w:val="auto"/>
        </w:rPr>
        <w:t>Other intangible assets acquired include customer relationships and trademarks/trade names and are anticipated to have estimated useful lives of between seven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and assembled workforce that the Company expects to realize from the acquisition. Goodwill generated from the acquisition is deductible for tax purposes.</w:t>
      </w:r>
    </w:p>
    <w:p>
      <w:pPr>
        <w:spacing w:after="0" w:line="112" w:lineRule="exact"/>
        <w:rPr>
          <w:sz w:val="20"/>
          <w:szCs w:val="20"/>
          <w:color w:val="auto"/>
        </w:rPr>
      </w:pPr>
    </w:p>
    <w:p>
      <w:pPr>
        <w:jc w:val="both"/>
        <w:ind w:right="460" w:firstLine="709"/>
        <w:spacing w:after="0" w:line="261" w:lineRule="auto"/>
        <w:rPr>
          <w:sz w:val="20"/>
          <w:szCs w:val="20"/>
          <w:color w:val="auto"/>
        </w:rPr>
      </w:pPr>
      <w:r>
        <w:rPr>
          <w:rFonts w:ascii="Arial" w:cs="Arial" w:eastAsia="Arial" w:hAnsi="Arial"/>
          <w:sz w:val="20"/>
          <w:szCs w:val="20"/>
          <w:color w:val="auto"/>
        </w:rPr>
        <w:t>The operations included in the Company’s financial statements for the period ended December 31, 2024, and pro forma revenue and earnings amounts on a combined basis as if this acquisition had been completed on January 1, 2023 are immaterial to the consolidated financial statements of the Company.</w:t>
      </w:r>
    </w:p>
    <w:p>
      <w:pPr>
        <w:spacing w:after="0" w:line="116" w:lineRule="exact"/>
        <w:rPr>
          <w:sz w:val="20"/>
          <w:szCs w:val="20"/>
          <w:color w:val="auto"/>
        </w:rPr>
      </w:pPr>
    </w:p>
    <w:p>
      <w:pPr>
        <w:ind w:right="40" w:firstLine="709"/>
        <w:spacing w:after="0" w:line="303" w:lineRule="auto"/>
        <w:rPr>
          <w:sz w:val="20"/>
          <w:szCs w:val="20"/>
          <w:color w:val="auto"/>
        </w:rPr>
      </w:pPr>
      <w:r>
        <w:rPr>
          <w:rFonts w:ascii="Arial" w:cs="Arial" w:eastAsia="Arial" w:hAnsi="Arial"/>
          <w:sz w:val="18"/>
          <w:szCs w:val="18"/>
          <w:color w:val="auto"/>
        </w:rPr>
        <w:t>During 2024, the Company completed the acquisition of three additional privately-owned business for $17.1 million in total cash consideration. The operations were consolidated into the Environmental Services and SKSS segments. The acquisitions of the acquired businesses were not material in 2024 to the consolidated financial statements of the Company.</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Acquisition</w:t>
      </w:r>
    </w:p>
    <w:p>
      <w:pPr>
        <w:spacing w:after="0" w:line="172" w:lineRule="exact"/>
        <w:rPr>
          <w:sz w:val="20"/>
          <w:szCs w:val="20"/>
          <w:color w:val="auto"/>
        </w:rPr>
      </w:pPr>
    </w:p>
    <w:p>
      <w:pPr>
        <w:ind w:right="160" w:firstLine="709"/>
        <w:spacing w:after="0" w:line="281" w:lineRule="auto"/>
        <w:rPr>
          <w:sz w:val="20"/>
          <w:szCs w:val="20"/>
          <w:color w:val="auto"/>
        </w:rPr>
      </w:pPr>
      <w:r>
        <w:rPr>
          <w:rFonts w:ascii="Arial" w:cs="Arial" w:eastAsia="Arial" w:hAnsi="Arial"/>
          <w:sz w:val="19"/>
          <w:szCs w:val="19"/>
          <w:color w:val="auto"/>
        </w:rPr>
        <w:t>On March 31, 2023, the Company acquired Thompson Industrial Services, LLC (“Thompson Industrial”) for an all-cash purchase price of $110.9 million, net of cash acquired. The operations of Thompson Industrial expand the Environmental Services segment’s industrial service operations in the southeastern region of the United States.</w:t>
      </w:r>
    </w:p>
    <w:p>
      <w:pPr>
        <w:spacing w:after="0" w:line="99" w:lineRule="exact"/>
        <w:rPr>
          <w:sz w:val="20"/>
          <w:szCs w:val="20"/>
          <w:color w:val="auto"/>
        </w:rPr>
      </w:pPr>
    </w:p>
    <w:p>
      <w:pPr>
        <w:ind w:right="580" w:firstLine="709"/>
        <w:spacing w:after="0" w:line="405" w:lineRule="auto"/>
        <w:rPr>
          <w:sz w:val="20"/>
          <w:szCs w:val="20"/>
          <w:color w:val="auto"/>
        </w:rPr>
      </w:pPr>
      <w:r>
        <w:rPr>
          <w:rFonts w:ascii="Arial" w:cs="Arial" w:eastAsia="Arial" w:hAnsi="Arial"/>
          <w:sz w:val="16"/>
          <w:szCs w:val="16"/>
          <w:color w:val="auto"/>
        </w:rPr>
        <w:t>The Company finalized the purchase accounting for this acquisition in the first quarter of 2024. The preliminary allocation of the purchase price was based on estimates of the fair value and assets acquired and liabilities assumed as of</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880" w:h="15480" w:orient="portrait"/>
          <w:cols w:equalWidth="0" w:num="1">
            <w:col w:w="10120"/>
          </w:cols>
          <w:pgMar w:left="880" w:top="338" w:right="880" w:bottom="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March 31, 2023. The following table summarizes the preliminary and final determination and recognition of assets acquired and liabilities assumed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23"/>
              <w:spacing w:after="0"/>
              <w:rPr>
                <w:sz w:val="20"/>
                <w:szCs w:val="20"/>
                <w:color w:val="auto"/>
              </w:rPr>
            </w:pPr>
            <w:r>
              <w:rPr>
                <w:rFonts w:ascii="Arial" w:cs="Arial" w:eastAsia="Arial" w:hAnsi="Arial"/>
                <w:sz w:val="18"/>
                <w:szCs w:val="18"/>
                <w:b w:val="1"/>
                <w:bCs w:val="1"/>
                <w:color w:val="auto"/>
                <w:w w:val="93"/>
              </w:rPr>
              <w:t>Preliminary</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43"/>
              <w:spacing w:after="0"/>
              <w:rPr>
                <w:sz w:val="20"/>
                <w:szCs w:val="20"/>
                <w:color w:val="auto"/>
              </w:rPr>
            </w:pPr>
            <w:r>
              <w:rPr>
                <w:rFonts w:ascii="Arial" w:cs="Arial" w:eastAsia="Arial" w:hAnsi="Arial"/>
                <w:sz w:val="18"/>
                <w:szCs w:val="18"/>
                <w:b w:val="1"/>
                <w:bCs w:val="1"/>
                <w:color w:val="auto"/>
                <w:w w:val="88"/>
              </w:rPr>
              <w:t>Allocation As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23"/>
              <w:spacing w:after="0"/>
              <w:rPr>
                <w:sz w:val="20"/>
                <w:szCs w:val="20"/>
                <w:color w:val="auto"/>
              </w:rPr>
            </w:pPr>
            <w:r>
              <w:rPr>
                <w:rFonts w:ascii="Arial" w:cs="Arial" w:eastAsia="Arial" w:hAnsi="Arial"/>
                <w:sz w:val="18"/>
                <w:szCs w:val="18"/>
                <w:b w:val="1"/>
                <w:bCs w:val="1"/>
                <w:color w:val="auto"/>
                <w:w w:val="89"/>
              </w:rPr>
              <w:t>Measurement</w:t>
            </w:r>
          </w:p>
        </w:tc>
        <w:tc>
          <w:tcPr>
            <w:tcW w:w="80" w:type="dxa"/>
            <w:vAlign w:val="bottom"/>
          </w:tcPr>
          <w:p>
            <w:pPr>
              <w:spacing w:after="0"/>
              <w:rPr>
                <w:sz w:val="18"/>
                <w:szCs w:val="18"/>
                <w:color w:val="auto"/>
              </w:rPr>
            </w:pPr>
          </w:p>
        </w:tc>
        <w:tc>
          <w:tcPr>
            <w:tcW w:w="160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w w:val="93"/>
              </w:rPr>
              <w:t>Final Allocation as</w:t>
            </w:r>
          </w:p>
        </w:tc>
      </w:tr>
      <w:tr>
        <w:trPr>
          <w:trHeight w:val="213"/>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23"/>
              <w:spacing w:after="0"/>
              <w:rPr>
                <w:sz w:val="20"/>
                <w:szCs w:val="20"/>
                <w:color w:val="auto"/>
              </w:rPr>
            </w:pPr>
            <w:r>
              <w:rPr>
                <w:rFonts w:ascii="Arial" w:cs="Arial" w:eastAsia="Arial" w:hAnsi="Arial"/>
                <w:sz w:val="18"/>
                <w:szCs w:val="18"/>
                <w:b w:val="1"/>
                <w:bCs w:val="1"/>
                <w:color w:val="auto"/>
                <w:w w:val="91"/>
              </w:rPr>
              <w:t>Reported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03"/>
              <w:spacing w:after="0"/>
              <w:rPr>
                <w:sz w:val="20"/>
                <w:szCs w:val="20"/>
                <w:color w:val="auto"/>
              </w:rPr>
            </w:pPr>
            <w:r>
              <w:rPr>
                <w:rFonts w:ascii="Arial" w:cs="Arial" w:eastAsia="Arial" w:hAnsi="Arial"/>
                <w:sz w:val="18"/>
                <w:szCs w:val="18"/>
                <w:b w:val="1"/>
                <w:bCs w:val="1"/>
                <w:color w:val="auto"/>
                <w:w w:val="89"/>
              </w:rPr>
              <w:t>Period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342"/>
              <w:spacing w:after="0"/>
              <w:rPr>
                <w:sz w:val="20"/>
                <w:szCs w:val="20"/>
                <w:color w:val="auto"/>
              </w:rPr>
            </w:pPr>
            <w:r>
              <w:rPr>
                <w:rFonts w:ascii="Arial" w:cs="Arial" w:eastAsia="Arial" w:hAnsi="Arial"/>
                <w:sz w:val="18"/>
                <w:szCs w:val="18"/>
                <w:b w:val="1"/>
                <w:bCs w:val="1"/>
                <w:color w:val="auto"/>
              </w:rPr>
              <w:t>Reported</w:t>
            </w:r>
          </w:p>
        </w:tc>
      </w:tr>
      <w:tr>
        <w:trPr>
          <w:trHeight w:val="240"/>
        </w:trPr>
        <w:tc>
          <w:tcPr>
            <w:tcW w:w="5180" w:type="dxa"/>
            <w:vAlign w:val="bottom"/>
            <w:tcBorders>
              <w:bottom w:val="single" w:sz="8" w:color="E6E6E6"/>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 2023</w:t>
            </w:r>
          </w:p>
        </w:tc>
        <w:tc>
          <w:tcPr>
            <w:tcW w:w="6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23"/>
              <w:spacing w:after="0"/>
              <w:rPr>
                <w:sz w:val="20"/>
                <w:szCs w:val="20"/>
                <w:color w:val="auto"/>
              </w:rPr>
            </w:pPr>
            <w:r>
              <w:rPr>
                <w:rFonts w:ascii="Arial" w:cs="Arial" w:eastAsia="Arial" w:hAnsi="Arial"/>
                <w:sz w:val="18"/>
                <w:szCs w:val="18"/>
                <w:b w:val="1"/>
                <w:bCs w:val="1"/>
                <w:color w:val="auto"/>
                <w:w w:val="88"/>
              </w:rPr>
              <w:t>Adjustments</w:t>
            </w:r>
          </w:p>
        </w:tc>
        <w:tc>
          <w:tcPr>
            <w:tcW w:w="80" w:type="dxa"/>
            <w:vAlign w:val="bottom"/>
            <w:tcBorders>
              <w:bottom w:val="single" w:sz="8" w:color="E6E6E6"/>
            </w:tcBorders>
          </w:tcPr>
          <w:p>
            <w:pPr>
              <w:spacing w:after="0"/>
              <w:rPr>
                <w:sz w:val="20"/>
                <w:szCs w:val="20"/>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2024</w:t>
            </w:r>
          </w:p>
        </w:tc>
      </w:tr>
      <w:tr>
        <w:trPr>
          <w:trHeight w:val="271"/>
        </w:trPr>
        <w:tc>
          <w:tcPr>
            <w:tcW w:w="5180" w:type="dxa"/>
            <w:vAlign w:val="bottom"/>
            <w:shd w:val="clear" w:color="auto" w:fill="E6E6E6"/>
          </w:tcPr>
          <w:p>
            <w:pPr>
              <w:ind w:left="60"/>
              <w:spacing w:after="0"/>
              <w:rPr>
                <w:sz w:val="20"/>
                <w:szCs w:val="20"/>
                <w:color w:val="auto"/>
              </w:rPr>
            </w:pPr>
            <w:r>
              <w:rPr>
                <w:rFonts w:ascii="Arial" w:cs="Arial" w:eastAsia="Arial" w:hAnsi="Arial"/>
                <w:sz w:val="20"/>
                <w:szCs w:val="20"/>
                <w:color w:val="auto"/>
              </w:rPr>
              <w:t>Accounts receivable, including unbilled receivables</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25,233</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(73)</w:t>
            </w:r>
          </w:p>
        </w:tc>
        <w:tc>
          <w:tcPr>
            <w:tcW w:w="380" w:type="dxa"/>
            <w:vAlign w:val="bottom"/>
            <w:gridSpan w:val="2"/>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25,160</w:t>
            </w:r>
          </w:p>
        </w:tc>
      </w:tr>
      <w:tr>
        <w:trPr>
          <w:trHeight w:val="275"/>
        </w:trPr>
        <w:tc>
          <w:tcPr>
            <w:tcW w:w="5180" w:type="dxa"/>
            <w:vAlign w:val="bottom"/>
          </w:tcPr>
          <w:p>
            <w:pPr>
              <w:ind w:left="60"/>
              <w:spacing w:after="0"/>
              <w:rPr>
                <w:sz w:val="20"/>
                <w:szCs w:val="20"/>
                <w:color w:val="auto"/>
              </w:rPr>
            </w:pPr>
            <w:r>
              <w:rPr>
                <w:rFonts w:ascii="Arial" w:cs="Arial" w:eastAsia="Arial" w:hAnsi="Arial"/>
                <w:sz w:val="20"/>
                <w:szCs w:val="20"/>
                <w:color w:val="auto"/>
              </w:rPr>
              <w:t>Inventories and supplies</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228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228</w:t>
            </w:r>
          </w:p>
        </w:tc>
      </w:tr>
      <w:tr>
        <w:trPr>
          <w:trHeight w:val="287"/>
        </w:trPr>
        <w:tc>
          <w:tcPr>
            <w:tcW w:w="5180" w:type="dxa"/>
            <w:vAlign w:val="bottom"/>
            <w:shd w:val="clear" w:color="auto" w:fill="E6E6E6"/>
          </w:tcPr>
          <w:p>
            <w:pPr>
              <w:ind w:left="60"/>
              <w:spacing w:after="0"/>
              <w:rPr>
                <w:sz w:val="20"/>
                <w:szCs w:val="20"/>
                <w:color w:val="auto"/>
              </w:rPr>
            </w:pPr>
            <w:r>
              <w:rPr>
                <w:rFonts w:ascii="Arial" w:cs="Arial" w:eastAsia="Arial" w:hAnsi="Arial"/>
                <w:sz w:val="20"/>
                <w:szCs w:val="20"/>
                <w:color w:val="auto"/>
              </w:rPr>
              <w:t>Prepaid expenses and other current assets</w:t>
            </w:r>
          </w:p>
        </w:tc>
        <w:tc>
          <w:tcPr>
            <w:tcW w:w="220" w:type="dxa"/>
            <w:vAlign w:val="bottom"/>
            <w:shd w:val="clear" w:color="auto" w:fill="E6E6E6"/>
          </w:tcPr>
          <w:p>
            <w:pPr>
              <w:spacing w:after="0"/>
              <w:rPr>
                <w:sz w:val="24"/>
                <w:szCs w:val="24"/>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1,302</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1,302</w:t>
            </w:r>
          </w:p>
        </w:tc>
      </w:tr>
      <w:tr>
        <w:trPr>
          <w:trHeight w:val="275"/>
        </w:trPr>
        <w:tc>
          <w:tcPr>
            <w:tcW w:w="5180" w:type="dxa"/>
            <w:vAlign w:val="bottom"/>
          </w:tcPr>
          <w:p>
            <w:pPr>
              <w:ind w:left="60"/>
              <w:spacing w:after="0"/>
              <w:rPr>
                <w:sz w:val="20"/>
                <w:szCs w:val="20"/>
                <w:color w:val="auto"/>
              </w:rPr>
            </w:pPr>
            <w:r>
              <w:rPr>
                <w:rFonts w:ascii="Arial" w:cs="Arial" w:eastAsia="Arial" w:hAnsi="Arial"/>
                <w:sz w:val="20"/>
                <w:szCs w:val="20"/>
                <w:color w:val="auto"/>
              </w:rPr>
              <w:t>Property, plant and equipment</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26,719</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26,719</w:t>
            </w:r>
          </w:p>
        </w:tc>
      </w:tr>
      <w:tr>
        <w:trPr>
          <w:trHeight w:val="287"/>
        </w:trPr>
        <w:tc>
          <w:tcPr>
            <w:tcW w:w="5180" w:type="dxa"/>
            <w:vAlign w:val="bottom"/>
            <w:shd w:val="clear" w:color="auto" w:fill="E6E6E6"/>
          </w:tcPr>
          <w:p>
            <w:pPr>
              <w:ind w:left="60"/>
              <w:spacing w:after="0"/>
              <w:rPr>
                <w:sz w:val="20"/>
                <w:szCs w:val="20"/>
                <w:color w:val="auto"/>
              </w:rPr>
            </w:pPr>
            <w:r>
              <w:rPr>
                <w:rFonts w:ascii="Arial" w:cs="Arial" w:eastAsia="Arial" w:hAnsi="Arial"/>
                <w:sz w:val="20"/>
                <w:szCs w:val="20"/>
                <w:color w:val="auto"/>
              </w:rPr>
              <w:t>Permits and other intangibles</w:t>
            </w:r>
          </w:p>
        </w:tc>
        <w:tc>
          <w:tcPr>
            <w:tcW w:w="220" w:type="dxa"/>
            <w:vAlign w:val="bottom"/>
            <w:shd w:val="clear" w:color="auto" w:fill="E6E6E6"/>
          </w:tcPr>
          <w:p>
            <w:pPr>
              <w:spacing w:after="0"/>
              <w:rPr>
                <w:sz w:val="24"/>
                <w:szCs w:val="24"/>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28,900</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28,900</w:t>
            </w:r>
          </w:p>
        </w:tc>
      </w:tr>
      <w:tr>
        <w:trPr>
          <w:trHeight w:val="275"/>
        </w:trPr>
        <w:tc>
          <w:tcPr>
            <w:tcW w:w="5180" w:type="dxa"/>
            <w:vAlign w:val="bottom"/>
          </w:tcPr>
          <w:p>
            <w:pPr>
              <w:ind w:left="60"/>
              <w:spacing w:after="0"/>
              <w:rPr>
                <w:sz w:val="20"/>
                <w:szCs w:val="20"/>
                <w:color w:val="auto"/>
              </w:rPr>
            </w:pPr>
            <w:r>
              <w:rPr>
                <w:rFonts w:ascii="Arial" w:cs="Arial" w:eastAsia="Arial" w:hAnsi="Arial"/>
                <w:sz w:val="20"/>
                <w:szCs w:val="20"/>
                <w:color w:val="auto"/>
              </w:rPr>
              <w:t>Operating lease right-of-use assets</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4,716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4,716</w:t>
            </w:r>
          </w:p>
        </w:tc>
      </w:tr>
      <w:tr>
        <w:trPr>
          <w:trHeight w:val="287"/>
        </w:trPr>
        <w:tc>
          <w:tcPr>
            <w:tcW w:w="5180" w:type="dxa"/>
            <w:vAlign w:val="bottom"/>
            <w:shd w:val="clear" w:color="auto" w:fill="E6E6E6"/>
          </w:tcPr>
          <w:p>
            <w:pPr>
              <w:ind w:left="60"/>
              <w:spacing w:after="0"/>
              <w:rPr>
                <w:sz w:val="20"/>
                <w:szCs w:val="20"/>
                <w:color w:val="auto"/>
              </w:rPr>
            </w:pPr>
            <w:r>
              <w:rPr>
                <w:rFonts w:ascii="Arial" w:cs="Arial" w:eastAsia="Arial" w:hAnsi="Arial"/>
                <w:sz w:val="20"/>
                <w:szCs w:val="20"/>
                <w:color w:val="auto"/>
              </w:rPr>
              <w:t>Other long-term assets</w:t>
            </w:r>
          </w:p>
        </w:tc>
        <w:tc>
          <w:tcPr>
            <w:tcW w:w="220" w:type="dxa"/>
            <w:vAlign w:val="bottom"/>
            <w:shd w:val="clear" w:color="auto" w:fill="E6E6E6"/>
          </w:tcPr>
          <w:p>
            <w:pPr>
              <w:spacing w:after="0"/>
              <w:rPr>
                <w:sz w:val="24"/>
                <w:szCs w:val="24"/>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72</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72</w:t>
            </w:r>
          </w:p>
        </w:tc>
      </w:tr>
      <w:tr>
        <w:trPr>
          <w:trHeight w:val="275"/>
        </w:trPr>
        <w:tc>
          <w:tcPr>
            <w:tcW w:w="5180" w:type="dxa"/>
            <w:vAlign w:val="bottom"/>
          </w:tcPr>
          <w:p>
            <w:pPr>
              <w:ind w:left="60"/>
              <w:spacing w:after="0"/>
              <w:rPr>
                <w:sz w:val="20"/>
                <w:szCs w:val="20"/>
                <w:color w:val="auto"/>
              </w:rPr>
            </w:pPr>
            <w:r>
              <w:rPr>
                <w:rFonts w:ascii="Arial" w:cs="Arial" w:eastAsia="Arial" w:hAnsi="Arial"/>
                <w:sz w:val="20"/>
                <w:szCs w:val="20"/>
                <w:color w:val="auto"/>
              </w:rPr>
              <w:t>Accounts payable</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(7,185)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(7,240)</w:t>
            </w:r>
          </w:p>
        </w:tc>
      </w:tr>
      <w:tr>
        <w:trPr>
          <w:trHeight w:val="287"/>
        </w:trPr>
        <w:tc>
          <w:tcPr>
            <w:tcW w:w="5180" w:type="dxa"/>
            <w:vAlign w:val="bottom"/>
            <w:shd w:val="clear" w:color="auto" w:fill="E6E6E6"/>
          </w:tcPr>
          <w:p>
            <w:pPr>
              <w:ind w:left="60"/>
              <w:spacing w:after="0"/>
              <w:rPr>
                <w:sz w:val="20"/>
                <w:szCs w:val="20"/>
                <w:color w:val="auto"/>
              </w:rPr>
            </w:pPr>
            <w:r>
              <w:rPr>
                <w:rFonts w:ascii="Arial" w:cs="Arial" w:eastAsia="Arial" w:hAnsi="Arial"/>
                <w:sz w:val="20"/>
                <w:szCs w:val="20"/>
                <w:color w:val="auto"/>
              </w:rPr>
              <w:t>Accrued expenses and other current liabilities</w:t>
            </w:r>
          </w:p>
        </w:tc>
        <w:tc>
          <w:tcPr>
            <w:tcW w:w="220" w:type="dxa"/>
            <w:vAlign w:val="bottom"/>
            <w:shd w:val="clear" w:color="auto" w:fill="E6E6E6"/>
          </w:tcPr>
          <w:p>
            <w:pPr>
              <w:spacing w:after="0"/>
              <w:rPr>
                <w:sz w:val="24"/>
                <w:szCs w:val="24"/>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(3,200)</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(90)</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(3,290)</w:t>
            </w:r>
          </w:p>
        </w:tc>
      </w:tr>
      <w:tr>
        <w:trPr>
          <w:trHeight w:val="275"/>
        </w:trPr>
        <w:tc>
          <w:tcPr>
            <w:tcW w:w="5180" w:type="dxa"/>
            <w:vAlign w:val="bottom"/>
          </w:tcPr>
          <w:p>
            <w:pPr>
              <w:ind w:left="60"/>
              <w:spacing w:after="0"/>
              <w:rPr>
                <w:sz w:val="20"/>
                <w:szCs w:val="20"/>
                <w:color w:val="auto"/>
              </w:rPr>
            </w:pPr>
            <w:r>
              <w:rPr>
                <w:rFonts w:ascii="Arial" w:cs="Arial" w:eastAsia="Arial" w:hAnsi="Arial"/>
                <w:sz w:val="20"/>
                <w:szCs w:val="20"/>
                <w:color w:val="auto"/>
              </w:rPr>
              <w:t>Current portion of operating lease liabilities</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(1,653)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(1,653)</w:t>
            </w:r>
          </w:p>
        </w:tc>
      </w:tr>
      <w:tr>
        <w:trPr>
          <w:trHeight w:val="287"/>
        </w:trPr>
        <w:tc>
          <w:tcPr>
            <w:tcW w:w="5180" w:type="dxa"/>
            <w:vAlign w:val="bottom"/>
            <w:shd w:val="clear" w:color="auto" w:fill="E6E6E6"/>
          </w:tcPr>
          <w:p>
            <w:pPr>
              <w:ind w:left="60"/>
              <w:spacing w:after="0"/>
              <w:rPr>
                <w:sz w:val="20"/>
                <w:szCs w:val="20"/>
                <w:color w:val="auto"/>
              </w:rPr>
            </w:pPr>
            <w:r>
              <w:rPr>
                <w:rFonts w:ascii="Arial" w:cs="Arial" w:eastAsia="Arial" w:hAnsi="Arial"/>
                <w:sz w:val="20"/>
                <w:szCs w:val="20"/>
                <w:color w:val="auto"/>
              </w:rPr>
              <w:t>Operating lease liabilities, less current portion</w:t>
            </w:r>
          </w:p>
        </w:tc>
        <w:tc>
          <w:tcPr>
            <w:tcW w:w="220" w:type="dxa"/>
            <w:vAlign w:val="bottom"/>
            <w:shd w:val="clear" w:color="auto" w:fill="E6E6E6"/>
          </w:tcPr>
          <w:p>
            <w:pPr>
              <w:spacing w:after="0"/>
              <w:rPr>
                <w:sz w:val="24"/>
                <w:szCs w:val="24"/>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(3,063)</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(3,063)</w:t>
            </w:r>
          </w:p>
        </w:tc>
      </w:tr>
      <w:tr>
        <w:trPr>
          <w:trHeight w:val="271"/>
        </w:trPr>
        <w:tc>
          <w:tcPr>
            <w:tcW w:w="518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Other long-term liabilities</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(560)</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(560)</w:t>
            </w:r>
          </w:p>
        </w:tc>
      </w:tr>
      <w:tr>
        <w:trPr>
          <w:trHeight w:val="271"/>
        </w:trPr>
        <w:tc>
          <w:tcPr>
            <w:tcW w:w="5180" w:type="dxa"/>
            <w:vAlign w:val="bottom"/>
            <w:shd w:val="clear" w:color="auto" w:fill="E6E6E6"/>
          </w:tcPr>
          <w:p>
            <w:pPr>
              <w:ind w:left="60"/>
              <w:spacing w:after="0"/>
              <w:rPr>
                <w:sz w:val="20"/>
                <w:szCs w:val="20"/>
                <w:color w:val="auto"/>
              </w:rPr>
            </w:pPr>
            <w:r>
              <w:rPr>
                <w:rFonts w:ascii="Arial" w:cs="Arial" w:eastAsia="Arial" w:hAnsi="Arial"/>
                <w:sz w:val="20"/>
                <w:szCs w:val="20"/>
                <w:color w:val="auto"/>
              </w:rPr>
              <w:t>Total identifiable net assets</w:t>
            </w:r>
          </w:p>
        </w:tc>
        <w:tc>
          <w:tcPr>
            <w:tcW w:w="220" w:type="dxa"/>
            <w:vAlign w:val="bottom"/>
            <w:shd w:val="clear" w:color="auto" w:fill="E6E6E6"/>
          </w:tcPr>
          <w:p>
            <w:pPr>
              <w:spacing w:after="0"/>
              <w:rPr>
                <w:sz w:val="23"/>
                <w:szCs w:val="23"/>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71,509</w:t>
            </w:r>
          </w:p>
        </w:tc>
        <w:tc>
          <w:tcPr>
            <w:tcW w:w="6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(218)</w:t>
            </w: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71,291</w:t>
            </w:r>
          </w:p>
        </w:tc>
      </w:tr>
      <w:tr>
        <w:trPr>
          <w:trHeight w:val="271"/>
        </w:trPr>
        <w:tc>
          <w:tcPr>
            <w:tcW w:w="518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Goodwill</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39,346</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39,564</w:t>
            </w:r>
          </w:p>
        </w:tc>
      </w:tr>
      <w:tr>
        <w:trPr>
          <w:trHeight w:val="280"/>
        </w:trPr>
        <w:tc>
          <w:tcPr>
            <w:tcW w:w="51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Total purchase price</w:t>
            </w: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110,855</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110,855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-43180</wp:posOffset>
            </wp:positionV>
            <wp:extent cx="3159125" cy="50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59125" cy="50165"/>
                    </a:xfrm>
                    <a:prstGeom prst="rect">
                      <a:avLst/>
                    </a:prstGeom>
                    <a:noFill/>
                  </pic:spPr>
                </pic:pic>
              </a:graphicData>
            </a:graphic>
          </wp:anchor>
        </w:drawing>
      </w:r>
    </w:p>
    <w:p>
      <w:pPr>
        <w:spacing w:after="0" w:line="145" w:lineRule="exact"/>
        <w:rPr>
          <w:sz w:val="20"/>
          <w:szCs w:val="20"/>
          <w:color w:val="auto"/>
        </w:rPr>
      </w:pPr>
    </w:p>
    <w:p>
      <w:pPr>
        <w:ind w:right="100" w:firstLine="709"/>
        <w:spacing w:after="0" w:line="327" w:lineRule="auto"/>
        <w:rPr>
          <w:sz w:val="20"/>
          <w:szCs w:val="20"/>
          <w:color w:val="auto"/>
        </w:rPr>
      </w:pPr>
      <w:r>
        <w:rPr>
          <w:rFonts w:ascii="Arial" w:cs="Arial" w:eastAsia="Arial" w:hAnsi="Arial"/>
          <w:sz w:val="16"/>
          <w:szCs w:val="16"/>
          <w:color w:val="auto"/>
        </w:rPr>
        <w:t>Permits and other intangible assets acquired include customer relationships, trademarks/trade names and non-compete agreements and are anticipated to have estimated useful lives of between five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assembled workforce and growth potential that the Company expects to realize from the acquisition. Goodwill generated from the acquisition is deductible for tax purposes.</w:t>
      </w:r>
    </w:p>
    <w:p>
      <w:pPr>
        <w:spacing w:after="0" w:line="72" w:lineRule="exact"/>
        <w:rPr>
          <w:sz w:val="20"/>
          <w:szCs w:val="20"/>
          <w:color w:val="auto"/>
        </w:rPr>
      </w:pPr>
    </w:p>
    <w:p>
      <w:pPr>
        <w:jc w:val="both"/>
        <w:ind w:right="460" w:firstLine="709"/>
        <w:spacing w:after="0" w:line="261" w:lineRule="auto"/>
        <w:rPr>
          <w:sz w:val="20"/>
          <w:szCs w:val="20"/>
          <w:color w:val="auto"/>
        </w:rPr>
      </w:pPr>
      <w:r>
        <w:rPr>
          <w:rFonts w:ascii="Arial" w:cs="Arial" w:eastAsia="Arial" w:hAnsi="Arial"/>
          <w:sz w:val="20"/>
          <w:szCs w:val="20"/>
          <w:color w:val="auto"/>
        </w:rPr>
        <w:t>The operations included in the Company’s financial statements for the period ended December 31, 2024, and pro forma revenue and earnings amounts on a combined basis as if this acquisition had been completed on January 1, 2022 are immaterial to the consolidated financial statements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2022 Acquisitions</w:t>
      </w:r>
    </w:p>
    <w:p>
      <w:pPr>
        <w:spacing w:after="0" w:line="172" w:lineRule="exact"/>
        <w:rPr>
          <w:sz w:val="20"/>
          <w:szCs w:val="20"/>
          <w:color w:val="auto"/>
        </w:rPr>
      </w:pPr>
    </w:p>
    <w:p>
      <w:pPr>
        <w:ind w:right="20" w:firstLine="709"/>
        <w:spacing w:after="0" w:line="256" w:lineRule="auto"/>
        <w:rPr>
          <w:sz w:val="20"/>
          <w:szCs w:val="20"/>
          <w:color w:val="auto"/>
        </w:rPr>
      </w:pPr>
      <w:r>
        <w:rPr>
          <w:rFonts w:ascii="Arial" w:cs="Arial" w:eastAsia="Arial" w:hAnsi="Arial"/>
          <w:sz w:val="20"/>
          <w:szCs w:val="20"/>
          <w:color w:val="auto"/>
        </w:rPr>
        <w:t>On June 17, 2022, the Company acquired a privately-owned company for an all-cash purchase price of approximately $78.9 million, net of cash acquired. The operations of the newly acquired company expand the SKSS segment’s waste oil collection capabilities and re-refining business throughout the southeastern region of the United States, including the addition of a re-refinery in Georgia.</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880" w:h="15480" w:orient="portrait"/>
          <w:cols w:equalWidth="0" w:num="1">
            <w:col w:w="10120"/>
          </w:cols>
          <w:pgMar w:left="880" w:top="338" w:right="880" w:bottom="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120" w:firstLine="709"/>
        <w:spacing w:after="0" w:line="356" w:lineRule="auto"/>
        <w:rPr>
          <w:sz w:val="20"/>
          <w:szCs w:val="20"/>
          <w:color w:val="auto"/>
        </w:rPr>
      </w:pPr>
      <w:r>
        <w:rPr>
          <w:rFonts w:ascii="Arial" w:cs="Arial" w:eastAsia="Arial" w:hAnsi="Arial"/>
          <w:sz w:val="16"/>
          <w:szCs w:val="16"/>
          <w:color w:val="auto"/>
        </w:rPr>
        <w:t>The Company finalized the purchase accounting for this acquisition in the second quarter of 2023. The allocation of the purchase price was based on estimates of the fair value and assets acquired and liabilities assumed as of June 17, 2022. The following table summarizes the final determination and recognition of assets acquired and liabilities assumed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520" w:type="dxa"/>
            <w:vAlign w:val="bottom"/>
            <w:tcBorders>
              <w:bottom w:val="single" w:sz="8" w:color="E6E6E6"/>
            </w:tcBorders>
          </w:tcPr>
          <w:p>
            <w:pPr>
              <w:spacing w:after="0"/>
              <w:rPr>
                <w:sz w:val="22"/>
                <w:szCs w:val="22"/>
                <w:color w:val="auto"/>
              </w:rPr>
            </w:pPr>
          </w:p>
        </w:tc>
        <w:tc>
          <w:tcPr>
            <w:tcW w:w="16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b w:val="1"/>
                <w:bCs w:val="1"/>
                <w:color w:val="auto"/>
                <w:w w:val="98"/>
              </w:rPr>
              <w:t>Final Allocation</w:t>
            </w:r>
          </w:p>
        </w:tc>
      </w:tr>
      <w:tr>
        <w:trPr>
          <w:trHeight w:val="271"/>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Accounts receivable</w:t>
            </w:r>
          </w:p>
        </w:tc>
        <w:tc>
          <w:tcPr>
            <w:tcW w:w="560" w:type="dxa"/>
            <w:vAlign w:val="bottom"/>
            <w:shd w:val="clear" w:color="auto" w:fill="E6E6E6"/>
          </w:tcPr>
          <w:p>
            <w:pPr>
              <w:jc w:val="right"/>
              <w:ind w:right="322"/>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1,089</w:t>
            </w:r>
          </w:p>
        </w:tc>
      </w:tr>
      <w:tr>
        <w:trPr>
          <w:trHeight w:val="275"/>
        </w:trPr>
        <w:tc>
          <w:tcPr>
            <w:tcW w:w="8520" w:type="dxa"/>
            <w:vAlign w:val="bottom"/>
          </w:tcPr>
          <w:p>
            <w:pPr>
              <w:ind w:left="60"/>
              <w:spacing w:after="0"/>
              <w:rPr>
                <w:sz w:val="20"/>
                <w:szCs w:val="20"/>
                <w:color w:val="auto"/>
              </w:rPr>
            </w:pPr>
            <w:r>
              <w:rPr>
                <w:rFonts w:ascii="Arial" w:cs="Arial" w:eastAsia="Arial" w:hAnsi="Arial"/>
                <w:sz w:val="20"/>
                <w:szCs w:val="20"/>
                <w:color w:val="auto"/>
              </w:rPr>
              <w:t>Inventories and supplies</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5,745</w:t>
            </w:r>
          </w:p>
        </w:tc>
      </w:tr>
      <w:tr>
        <w:trPr>
          <w:trHeight w:val="287"/>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Prepaid expenses and other current assets</w:t>
            </w:r>
          </w:p>
        </w:tc>
        <w:tc>
          <w:tcPr>
            <w:tcW w:w="5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144</w:t>
            </w:r>
          </w:p>
        </w:tc>
      </w:tr>
      <w:tr>
        <w:trPr>
          <w:trHeight w:val="275"/>
        </w:trPr>
        <w:tc>
          <w:tcPr>
            <w:tcW w:w="8520" w:type="dxa"/>
            <w:vAlign w:val="bottom"/>
          </w:tcPr>
          <w:p>
            <w:pPr>
              <w:ind w:left="60"/>
              <w:spacing w:after="0"/>
              <w:rPr>
                <w:sz w:val="20"/>
                <w:szCs w:val="20"/>
                <w:color w:val="auto"/>
              </w:rPr>
            </w:pPr>
            <w:r>
              <w:rPr>
                <w:rFonts w:ascii="Arial" w:cs="Arial" w:eastAsia="Arial" w:hAnsi="Arial"/>
                <w:sz w:val="20"/>
                <w:szCs w:val="20"/>
                <w:color w:val="auto"/>
              </w:rPr>
              <w:t>Property, plant and equipment</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22,231</w:t>
            </w:r>
          </w:p>
        </w:tc>
      </w:tr>
      <w:tr>
        <w:trPr>
          <w:trHeight w:val="287"/>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Permits and other intangibles</w:t>
            </w:r>
          </w:p>
        </w:tc>
        <w:tc>
          <w:tcPr>
            <w:tcW w:w="5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23,500</w:t>
            </w:r>
          </w:p>
        </w:tc>
      </w:tr>
      <w:tr>
        <w:trPr>
          <w:trHeight w:val="275"/>
        </w:trPr>
        <w:tc>
          <w:tcPr>
            <w:tcW w:w="8520" w:type="dxa"/>
            <w:vAlign w:val="bottom"/>
          </w:tcPr>
          <w:p>
            <w:pPr>
              <w:ind w:left="60"/>
              <w:spacing w:after="0"/>
              <w:rPr>
                <w:sz w:val="20"/>
                <w:szCs w:val="20"/>
                <w:color w:val="auto"/>
              </w:rPr>
            </w:pPr>
            <w:r>
              <w:rPr>
                <w:rFonts w:ascii="Arial" w:cs="Arial" w:eastAsia="Arial" w:hAnsi="Arial"/>
                <w:sz w:val="20"/>
                <w:szCs w:val="20"/>
                <w:color w:val="auto"/>
              </w:rPr>
              <w:t>Operating lease right-of-use assets</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585</w:t>
            </w:r>
          </w:p>
        </w:tc>
      </w:tr>
      <w:tr>
        <w:trPr>
          <w:trHeight w:val="287"/>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Other long-term assets</w:t>
            </w:r>
          </w:p>
        </w:tc>
        <w:tc>
          <w:tcPr>
            <w:tcW w:w="5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w:t>
            </w:r>
          </w:p>
        </w:tc>
      </w:tr>
      <w:tr>
        <w:trPr>
          <w:trHeight w:val="275"/>
        </w:trPr>
        <w:tc>
          <w:tcPr>
            <w:tcW w:w="8520" w:type="dxa"/>
            <w:vAlign w:val="bottom"/>
          </w:tcPr>
          <w:p>
            <w:pPr>
              <w:ind w:left="60"/>
              <w:spacing w:after="0"/>
              <w:rPr>
                <w:sz w:val="20"/>
                <w:szCs w:val="20"/>
                <w:color w:val="auto"/>
              </w:rPr>
            </w:pPr>
            <w:r>
              <w:rPr>
                <w:rFonts w:ascii="Arial" w:cs="Arial" w:eastAsia="Arial" w:hAnsi="Arial"/>
                <w:sz w:val="20"/>
                <w:szCs w:val="20"/>
                <w:color w:val="auto"/>
              </w:rPr>
              <w:t>Accrued expenses and other current liabilities</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(3,375)</w:t>
            </w:r>
          </w:p>
        </w:tc>
      </w:tr>
      <w:tr>
        <w:trPr>
          <w:trHeight w:val="287"/>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Current portion of operating lease liabilities</w:t>
            </w:r>
          </w:p>
        </w:tc>
        <w:tc>
          <w:tcPr>
            <w:tcW w:w="5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(186)</w:t>
            </w:r>
          </w:p>
        </w:tc>
      </w:tr>
      <w:tr>
        <w:trPr>
          <w:trHeight w:val="275"/>
        </w:trPr>
        <w:tc>
          <w:tcPr>
            <w:tcW w:w="8520" w:type="dxa"/>
            <w:vAlign w:val="bottom"/>
          </w:tcPr>
          <w:p>
            <w:pPr>
              <w:ind w:left="60"/>
              <w:spacing w:after="0"/>
              <w:rPr>
                <w:sz w:val="20"/>
                <w:szCs w:val="20"/>
                <w:color w:val="auto"/>
              </w:rPr>
            </w:pPr>
            <w:r>
              <w:rPr>
                <w:rFonts w:ascii="Arial" w:cs="Arial" w:eastAsia="Arial" w:hAnsi="Arial"/>
                <w:sz w:val="20"/>
                <w:szCs w:val="20"/>
                <w:color w:val="auto"/>
              </w:rPr>
              <w:t>Operating lease liabilities, less current portion</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(399)</w:t>
            </w:r>
          </w:p>
        </w:tc>
      </w:tr>
      <w:tr>
        <w:trPr>
          <w:trHeight w:val="296"/>
        </w:trPr>
        <w:tc>
          <w:tcPr>
            <w:tcW w:w="8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Other long-term liabilities</w:t>
            </w:r>
          </w:p>
        </w:tc>
        <w:tc>
          <w:tcPr>
            <w:tcW w:w="56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(2,681)</w:t>
            </w:r>
          </w:p>
        </w:tc>
      </w:tr>
      <w:tr>
        <w:trPr>
          <w:trHeight w:val="245"/>
        </w:trPr>
        <w:tc>
          <w:tcPr>
            <w:tcW w:w="8520" w:type="dxa"/>
            <w:vAlign w:val="bottom"/>
          </w:tcPr>
          <w:p>
            <w:pPr>
              <w:ind w:left="60"/>
              <w:spacing w:after="0"/>
              <w:rPr>
                <w:sz w:val="20"/>
                <w:szCs w:val="20"/>
                <w:color w:val="auto"/>
              </w:rPr>
            </w:pPr>
            <w:r>
              <w:rPr>
                <w:rFonts w:ascii="Arial" w:cs="Arial" w:eastAsia="Arial" w:hAnsi="Arial"/>
                <w:sz w:val="20"/>
                <w:szCs w:val="20"/>
                <w:color w:val="auto"/>
              </w:rPr>
              <w:t>Total identifiable net assets</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46,666</w:t>
            </w:r>
          </w:p>
        </w:tc>
      </w:tr>
      <w:tr>
        <w:trPr>
          <w:trHeight w:val="291"/>
        </w:trPr>
        <w:tc>
          <w:tcPr>
            <w:tcW w:w="8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Goodwill</w:t>
            </w:r>
          </w:p>
        </w:tc>
        <w:tc>
          <w:tcPr>
            <w:tcW w:w="56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32,212</w:t>
            </w:r>
          </w:p>
        </w:tc>
      </w:tr>
      <w:tr>
        <w:trPr>
          <w:trHeight w:val="227"/>
        </w:trPr>
        <w:tc>
          <w:tcPr>
            <w:tcW w:w="8520" w:type="dxa"/>
            <w:vAlign w:val="bottom"/>
          </w:tcPr>
          <w:p>
            <w:pPr>
              <w:ind w:left="60"/>
              <w:spacing w:after="0" w:line="228" w:lineRule="exact"/>
              <w:rPr>
                <w:sz w:val="20"/>
                <w:szCs w:val="20"/>
                <w:color w:val="auto"/>
              </w:rPr>
            </w:pPr>
            <w:r>
              <w:rPr>
                <w:rFonts w:ascii="Arial" w:cs="Arial" w:eastAsia="Arial" w:hAnsi="Arial"/>
                <w:sz w:val="20"/>
                <w:szCs w:val="20"/>
                <w:color w:val="auto"/>
              </w:rPr>
              <w:t>Total purchase price</w:t>
            </w:r>
          </w:p>
        </w:tc>
        <w:tc>
          <w:tcPr>
            <w:tcW w:w="560" w:type="dxa"/>
            <w:vAlign w:val="bottom"/>
            <w:tcBorders>
              <w:bottom w:val="single" w:sz="8" w:color="auto"/>
            </w:tcBorders>
          </w:tcPr>
          <w:p>
            <w:pPr>
              <w:jc w:val="right"/>
              <w:ind w:right="322"/>
              <w:spacing w:after="0" w:line="228"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color w:val="auto"/>
              </w:rPr>
              <w:t>78,878</w:t>
            </w:r>
          </w:p>
        </w:tc>
      </w:tr>
      <w:tr>
        <w:trPr>
          <w:trHeight w:val="20"/>
        </w:trPr>
        <w:tc>
          <w:tcPr>
            <w:tcW w:w="8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5395595</wp:posOffset>
            </wp:positionH>
            <wp:positionV relativeFrom="paragraph">
              <wp:posOffset>-43180</wp:posOffset>
            </wp:positionV>
            <wp:extent cx="1038860" cy="50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38860" cy="50165"/>
                    </a:xfrm>
                    <a:prstGeom prst="rect">
                      <a:avLst/>
                    </a:prstGeom>
                    <a:noFill/>
                  </pic:spPr>
                </pic:pic>
              </a:graphicData>
            </a:graphic>
          </wp:anchor>
        </w:drawing>
      </w:r>
    </w:p>
    <w:p>
      <w:pPr>
        <w:spacing w:after="0" w:line="145" w:lineRule="exact"/>
        <w:rPr>
          <w:sz w:val="20"/>
          <w:szCs w:val="20"/>
          <w:color w:val="auto"/>
        </w:rPr>
      </w:pPr>
    </w:p>
    <w:p>
      <w:pPr>
        <w:ind w:right="40" w:firstLine="709"/>
        <w:spacing w:after="0" w:line="286" w:lineRule="auto"/>
        <w:rPr>
          <w:sz w:val="20"/>
          <w:szCs w:val="20"/>
          <w:color w:val="auto"/>
        </w:rPr>
      </w:pPr>
      <w:r>
        <w:rPr>
          <w:rFonts w:ascii="Arial" w:cs="Arial" w:eastAsia="Arial" w:hAnsi="Arial"/>
          <w:sz w:val="18"/>
          <w:szCs w:val="18"/>
          <w:color w:val="auto"/>
        </w:rPr>
        <w:t>Permits and other intangible assets acquired include supplier relationships, permits, customer relationships and trademarks/trade names and are anticipated to have estimated useful lives of between five and 20 years with a weighted average useful life of approximately 18 years. The excess of the total purchase price, which includes the aggregate cash consideration paid in excess of the fair value of the tangible and intangible assets acquired, was recorded as goodwill. 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96" w:lineRule="exact"/>
        <w:rPr>
          <w:sz w:val="20"/>
          <w:szCs w:val="20"/>
          <w:color w:val="auto"/>
        </w:rPr>
      </w:pPr>
    </w:p>
    <w:p>
      <w:pPr>
        <w:ind w:right="40" w:firstLine="709"/>
        <w:spacing w:after="0" w:line="261" w:lineRule="auto"/>
        <w:rPr>
          <w:sz w:val="20"/>
          <w:szCs w:val="20"/>
          <w:color w:val="auto"/>
        </w:rPr>
      </w:pPr>
      <w:r>
        <w:rPr>
          <w:rFonts w:ascii="Arial" w:cs="Arial" w:eastAsia="Arial" w:hAnsi="Arial"/>
          <w:sz w:val="20"/>
          <w:szCs w:val="20"/>
          <w:color w:val="auto"/>
        </w:rPr>
        <w:t>The operations included in the Company’s financial statements for the period ended December 31, 2022 and pro forma revenue and earnings amounts on a combined basis as if this acquisition had been completed on January 1, 2022 were not material to the consolidated financial statements of the Company.</w:t>
      </w:r>
    </w:p>
    <w:p>
      <w:pPr>
        <w:spacing w:after="0" w:line="116" w:lineRule="exact"/>
        <w:rPr>
          <w:sz w:val="20"/>
          <w:szCs w:val="20"/>
          <w:color w:val="auto"/>
        </w:rPr>
      </w:pPr>
    </w:p>
    <w:p>
      <w:pPr>
        <w:ind w:right="140" w:firstLine="709"/>
        <w:spacing w:after="0" w:line="274" w:lineRule="auto"/>
        <w:rPr>
          <w:sz w:val="20"/>
          <w:szCs w:val="20"/>
          <w:color w:val="auto"/>
        </w:rPr>
      </w:pPr>
      <w:r>
        <w:rPr>
          <w:rFonts w:ascii="Arial" w:cs="Arial" w:eastAsia="Arial" w:hAnsi="Arial"/>
          <w:sz w:val="19"/>
          <w:szCs w:val="19"/>
          <w:color w:val="auto"/>
        </w:rPr>
        <w:t>On December 9, 2022, the Company acquired a privately-owned business for $12.6 million cash consideration. The acquired company expands the SKSS segment’s oil collection operations in the southeastern United States. In connection with this acquisition, goodwill of $2.7 million was recognized. The results of operations for the acquired business were not material in 2022 to the consolidated financial statements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DISPOSITION OF BUSINESS</w:t>
      </w:r>
    </w:p>
    <w:p>
      <w:pPr>
        <w:spacing w:after="0" w:line="171" w:lineRule="exact"/>
        <w:rPr>
          <w:sz w:val="20"/>
          <w:szCs w:val="20"/>
          <w:color w:val="auto"/>
        </w:rPr>
      </w:pPr>
    </w:p>
    <w:p>
      <w:pPr>
        <w:ind w:right="40" w:firstLine="709"/>
        <w:spacing w:after="0" w:line="265" w:lineRule="auto"/>
        <w:rPr>
          <w:sz w:val="20"/>
          <w:szCs w:val="20"/>
          <w:color w:val="auto"/>
        </w:rPr>
      </w:pPr>
      <w:r>
        <w:rPr>
          <w:rFonts w:ascii="Arial" w:cs="Arial" w:eastAsia="Arial" w:hAnsi="Arial"/>
          <w:sz w:val="19"/>
          <w:szCs w:val="19"/>
          <w:color w:val="auto"/>
        </w:rPr>
        <w:t>On June 30, 2022, the Company completed the sale of a line of business as part of its continuous focus on divesting certain non-core operations. The divested line of business was previously included within the Environmental Sales &amp; Service reporting unit of the Environmental Services segment. The Company determined that the disposition did not constitute a strategic shift and that the impact on the Company's overall operations and financial results was not material. Accordingly, the operations associated with the disposal were not reported in discontinued operations. The final purchase price, after settling working capital, for the line of business was $18.8 million, of which $1.5 million was held in escrow and received by the Company in equal parts in 2023 and 2024. The gain on sale of $8.9 million, after accounting for the assets sold, liabilities transferred upon sale and transaction costs, was included in gain on sale of business in the Company's consolidated statement of operations for the year ended December 31, 2022.</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880" w:h="15480" w:orient="portrait"/>
          <w:cols w:equalWidth="0" w:num="1">
            <w:col w:w="10120"/>
          </w:cols>
          <w:pgMar w:left="880" w:top="338" w:right="880" w:bottom="0" w:gutter="0" w:footer="0" w:header="0"/>
          <w:type w:val="continuous"/>
        </w:sectPr>
      </w:pPr>
    </w:p>
    <w:bookmarkStart w:id="79" w:name="page80"/>
    <w:bookmarkEnd w:id="79"/>
    <w:p>
      <w:pPr>
        <w:ind w:left="3000"/>
        <w:spacing w:after="0"/>
        <w:rPr>
          <w:sz w:val="20"/>
          <w:szCs w:val="20"/>
          <w:color w:val="auto"/>
        </w:rPr>
      </w:pPr>
      <w:r>
        <w:rPr>
          <w:rFonts w:ascii="Arial" w:cs="Arial" w:eastAsia="Arial" w:hAnsi="Arial"/>
          <w:sz w:val="20"/>
          <w:szCs w:val="20"/>
          <w:b w:val="1"/>
          <w:bCs w:val="1"/>
          <w:color w:val="auto"/>
        </w:rPr>
        <w:t>CLEAN HARBORS, INC. AND SUBSIDIARIES</w:t>
      </w:r>
    </w:p>
    <w:p>
      <w:pPr>
        <w:spacing w:after="0" w:line="164"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INVENTORIES AND SUPPLIES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Inventories and supplies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w w:val="87"/>
              </w:rPr>
              <w:t>December 31, 2024</w:t>
            </w:r>
          </w:p>
        </w:tc>
        <w:tc>
          <w:tcPr>
            <w:tcW w:w="8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w w:val="87"/>
              </w:rPr>
              <w:t>December 31, 2023</w:t>
            </w:r>
          </w:p>
        </w:tc>
      </w:tr>
      <w:tr>
        <w:trPr>
          <w:trHeight w:val="271"/>
        </w:trPr>
        <w:tc>
          <w:tcPr>
            <w:tcW w:w="6860" w:type="dxa"/>
            <w:vAlign w:val="bottom"/>
            <w:shd w:val="clear" w:color="auto" w:fill="E6E6E6"/>
          </w:tcPr>
          <w:p>
            <w:pPr>
              <w:ind w:left="60"/>
              <w:spacing w:after="0"/>
              <w:rPr>
                <w:sz w:val="20"/>
                <w:szCs w:val="20"/>
                <w:color w:val="auto"/>
              </w:rPr>
            </w:pPr>
            <w:r>
              <w:rPr>
                <w:rFonts w:ascii="Arial" w:cs="Arial" w:eastAsia="Arial" w:hAnsi="Arial"/>
                <w:sz w:val="20"/>
                <w:szCs w:val="20"/>
                <w:color w:val="auto"/>
              </w:rPr>
              <w:t>Supplies</w:t>
            </w: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200,905</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177,217</w:t>
            </w:r>
          </w:p>
        </w:tc>
      </w:tr>
      <w:tr>
        <w:trPr>
          <w:trHeight w:val="275"/>
        </w:trPr>
        <w:tc>
          <w:tcPr>
            <w:tcW w:w="6860" w:type="dxa"/>
            <w:vAlign w:val="bottom"/>
          </w:tcPr>
          <w:p>
            <w:pPr>
              <w:ind w:left="60"/>
              <w:spacing w:after="0"/>
              <w:rPr>
                <w:sz w:val="20"/>
                <w:szCs w:val="20"/>
                <w:color w:val="auto"/>
              </w:rPr>
            </w:pPr>
            <w:r>
              <w:rPr>
                <w:rFonts w:ascii="Arial" w:cs="Arial" w:eastAsia="Arial" w:hAnsi="Arial"/>
                <w:sz w:val="20"/>
                <w:szCs w:val="20"/>
                <w:color w:val="auto"/>
              </w:rPr>
              <w:t>Oil and oil related products</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152,992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118,600</w:t>
            </w:r>
          </w:p>
        </w:tc>
      </w:tr>
      <w:tr>
        <w:trPr>
          <w:trHeight w:val="287"/>
        </w:trPr>
        <w:tc>
          <w:tcPr>
            <w:tcW w:w="6860" w:type="dxa"/>
            <w:vAlign w:val="bottom"/>
            <w:shd w:val="clear" w:color="auto" w:fill="E6E6E6"/>
          </w:tcPr>
          <w:p>
            <w:pPr>
              <w:ind w:left="60"/>
              <w:spacing w:after="0"/>
              <w:rPr>
                <w:sz w:val="20"/>
                <w:szCs w:val="20"/>
                <w:color w:val="auto"/>
              </w:rPr>
            </w:pPr>
            <w:r>
              <w:rPr>
                <w:rFonts w:ascii="Arial" w:cs="Arial" w:eastAsia="Arial" w:hAnsi="Arial"/>
                <w:sz w:val="20"/>
                <w:szCs w:val="20"/>
                <w:color w:val="auto"/>
              </w:rPr>
              <w:t>Solvent and solutions</w:t>
            </w:r>
          </w:p>
        </w:tc>
        <w:tc>
          <w:tcPr>
            <w:tcW w:w="16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12,458</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11,795</w:t>
            </w:r>
          </w:p>
        </w:tc>
      </w:tr>
      <w:tr>
        <w:trPr>
          <w:trHeight w:val="271"/>
        </w:trPr>
        <w:tc>
          <w:tcPr>
            <w:tcW w:w="68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Other</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18,302</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19,899</w:t>
            </w:r>
          </w:p>
        </w:tc>
      </w:tr>
      <w:tr>
        <w:trPr>
          <w:trHeight w:val="280"/>
        </w:trPr>
        <w:tc>
          <w:tcPr>
            <w:tcW w:w="68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Total inventories and supplies</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384,657</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327,511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-43180</wp:posOffset>
            </wp:positionV>
            <wp:extent cx="2089150" cy="50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89150" cy="50165"/>
                    </a:xfrm>
                    <a:prstGeom prst="rect">
                      <a:avLst/>
                    </a:prstGeom>
                    <a:noFill/>
                  </pic:spPr>
                </pic:pic>
              </a:graphicData>
            </a:graphic>
          </wp:anchor>
        </w:drawing>
      </w:r>
    </w:p>
    <w:p>
      <w:pPr>
        <w:spacing w:after="0" w:line="145" w:lineRule="exact"/>
        <w:rPr>
          <w:sz w:val="20"/>
          <w:szCs w:val="20"/>
          <w:color w:val="auto"/>
        </w:rPr>
      </w:pPr>
    </w:p>
    <w:p>
      <w:pPr>
        <w:ind w:right="140" w:firstLine="709"/>
        <w:spacing w:after="0" w:line="270" w:lineRule="auto"/>
        <w:rPr>
          <w:sz w:val="20"/>
          <w:szCs w:val="20"/>
          <w:color w:val="auto"/>
        </w:rPr>
      </w:pPr>
      <w:r>
        <w:rPr>
          <w:rFonts w:ascii="Arial" w:cs="Arial" w:eastAsia="Arial" w:hAnsi="Arial"/>
          <w:sz w:val="19"/>
          <w:szCs w:val="19"/>
          <w:color w:val="auto"/>
        </w:rPr>
        <w:t>Supplies inventories consist primarily of critical spare parts to support the Company’s incinerator and re-refinery operations and other general supplies used in our normal day-to-day operations. The balance of oil and oil related products has increased due to higher volumes of oil inventory on hand at December 31, 2024 when compared with December 31, 2023 and overall price increases for the oil inventory. Other inventories consist primarily of parts washer components, cleaning fluids, absorbents and automotive fluids, such as windshield washer fluid and antifreeze.</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PROPERTY, PLANT AND EQUIPMENT</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Property, plant and equipment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w w:val="88"/>
              </w:rPr>
              <w:t>December 31, 2024</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w w:val="90"/>
              </w:rPr>
              <w:t>December 31, 2023</w:t>
            </w:r>
          </w:p>
        </w:tc>
        <w:tc>
          <w:tcPr>
            <w:tcW w:w="0" w:type="dxa"/>
            <w:vAlign w:val="bottom"/>
          </w:tcPr>
          <w:p>
            <w:pPr>
              <w:spacing w:after="0"/>
              <w:rPr>
                <w:sz w:val="1"/>
                <w:szCs w:val="1"/>
                <w:color w:val="auto"/>
              </w:rPr>
            </w:pPr>
          </w:p>
        </w:tc>
      </w:tr>
      <w:tr>
        <w:trPr>
          <w:trHeight w:val="271"/>
        </w:trPr>
        <w:tc>
          <w:tcPr>
            <w:tcW w:w="6560" w:type="dxa"/>
            <w:vAlign w:val="bottom"/>
            <w:shd w:val="clear" w:color="auto" w:fill="E6E6E6"/>
          </w:tcPr>
          <w:p>
            <w:pPr>
              <w:ind w:left="60"/>
              <w:spacing w:after="0"/>
              <w:rPr>
                <w:sz w:val="20"/>
                <w:szCs w:val="20"/>
                <w:color w:val="auto"/>
              </w:rPr>
            </w:pPr>
            <w:r>
              <w:rPr>
                <w:rFonts w:ascii="Arial" w:cs="Arial" w:eastAsia="Arial" w:hAnsi="Arial"/>
                <w:sz w:val="20"/>
                <w:szCs w:val="20"/>
                <w:color w:val="auto"/>
              </w:rPr>
              <w:t>Land</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184,191</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174,891</w:t>
            </w:r>
          </w:p>
        </w:tc>
        <w:tc>
          <w:tcPr>
            <w:tcW w:w="0" w:type="dxa"/>
            <w:vAlign w:val="bottom"/>
          </w:tcPr>
          <w:p>
            <w:pPr>
              <w:spacing w:after="0"/>
              <w:rPr>
                <w:sz w:val="1"/>
                <w:szCs w:val="1"/>
                <w:color w:val="auto"/>
              </w:rPr>
            </w:pPr>
          </w:p>
        </w:tc>
      </w:tr>
      <w:tr>
        <w:trPr>
          <w:trHeight w:val="275"/>
        </w:trPr>
        <w:tc>
          <w:tcPr>
            <w:tcW w:w="6560" w:type="dxa"/>
            <w:vAlign w:val="bottom"/>
          </w:tcPr>
          <w:p>
            <w:pPr>
              <w:ind w:left="60"/>
              <w:spacing w:after="0"/>
              <w:rPr>
                <w:sz w:val="20"/>
                <w:szCs w:val="20"/>
                <w:color w:val="auto"/>
              </w:rPr>
            </w:pPr>
            <w:r>
              <w:rPr>
                <w:rFonts w:ascii="Arial" w:cs="Arial" w:eastAsia="Arial" w:hAnsi="Arial"/>
                <w:sz w:val="20"/>
                <w:szCs w:val="20"/>
                <w:color w:val="auto"/>
              </w:rPr>
              <w:t>Asset retirement costs (non-landfill)</w:t>
            </w: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38,705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27,167</w:t>
            </w:r>
          </w:p>
        </w:tc>
        <w:tc>
          <w:tcPr>
            <w:tcW w:w="0" w:type="dxa"/>
            <w:vAlign w:val="bottom"/>
          </w:tcPr>
          <w:p>
            <w:pPr>
              <w:spacing w:after="0"/>
              <w:rPr>
                <w:sz w:val="1"/>
                <w:szCs w:val="1"/>
                <w:color w:val="auto"/>
              </w:rPr>
            </w:pPr>
          </w:p>
        </w:tc>
      </w:tr>
      <w:tr>
        <w:trPr>
          <w:trHeight w:val="301"/>
        </w:trPr>
        <w:tc>
          <w:tcPr>
            <w:tcW w:w="6560" w:type="dxa"/>
            <w:vAlign w:val="bottom"/>
            <w:shd w:val="clear" w:color="auto" w:fill="E6E6E6"/>
          </w:tcPr>
          <w:p>
            <w:pPr>
              <w:ind w:left="60"/>
              <w:spacing w:after="0"/>
              <w:rPr>
                <w:sz w:val="20"/>
                <w:szCs w:val="20"/>
                <w:color w:val="auto"/>
              </w:rPr>
            </w:pPr>
            <w:r>
              <w:rPr>
                <w:rFonts w:ascii="Arial" w:cs="Arial" w:eastAsia="Arial" w:hAnsi="Arial"/>
                <w:sz w:val="20"/>
                <w:szCs w:val="20"/>
                <w:color w:val="auto"/>
              </w:rPr>
              <w:t>Landfill assets</w:t>
            </w:r>
          </w:p>
        </w:tc>
        <w:tc>
          <w:tcPr>
            <w:tcW w:w="200" w:type="dxa"/>
            <w:vAlign w:val="bottom"/>
            <w:shd w:val="clear" w:color="auto" w:fill="E6E6E6"/>
          </w:tcPr>
          <w:p>
            <w:pPr>
              <w:spacing w:after="0"/>
              <w:rPr>
                <w:sz w:val="24"/>
                <w:szCs w:val="24"/>
                <w:color w:val="auto"/>
              </w:rPr>
            </w:pPr>
          </w:p>
        </w:tc>
        <w:tc>
          <w:tcPr>
            <w:tcW w:w="1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258,138</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253,180</w:t>
            </w:r>
          </w:p>
        </w:tc>
        <w:tc>
          <w:tcPr>
            <w:tcW w:w="0" w:type="dxa"/>
            <w:vAlign w:val="bottom"/>
          </w:tcPr>
          <w:p>
            <w:pPr>
              <w:spacing w:after="0"/>
              <w:rPr>
                <w:sz w:val="1"/>
                <w:szCs w:val="1"/>
                <w:color w:val="auto"/>
              </w:rPr>
            </w:pPr>
          </w:p>
        </w:tc>
      </w:tr>
      <w:tr>
        <w:trPr>
          <w:trHeight w:val="281"/>
        </w:trPr>
        <w:tc>
          <w:tcPr>
            <w:tcW w:w="6560" w:type="dxa"/>
            <w:vAlign w:val="bottom"/>
          </w:tcPr>
          <w:p>
            <w:pPr>
              <w:ind w:left="60"/>
              <w:spacing w:after="0" w:line="281" w:lineRule="exact"/>
              <w:rPr>
                <w:sz w:val="20"/>
                <w:szCs w:val="20"/>
                <w:color w:val="auto"/>
              </w:rPr>
            </w:pPr>
            <w:r>
              <w:rPr>
                <w:rFonts w:ascii="Arial" w:cs="Arial" w:eastAsia="Arial" w:hAnsi="Arial"/>
                <w:sz w:val="20"/>
                <w:szCs w:val="20"/>
                <w:color w:val="auto"/>
              </w:rPr>
              <w:t xml:space="preserve">Buildings and improvements </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719,439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630,525</w:t>
            </w:r>
          </w:p>
        </w:tc>
        <w:tc>
          <w:tcPr>
            <w:tcW w:w="0" w:type="dxa"/>
            <w:vAlign w:val="bottom"/>
          </w:tcPr>
          <w:p>
            <w:pPr>
              <w:spacing w:after="0"/>
              <w:rPr>
                <w:sz w:val="1"/>
                <w:szCs w:val="1"/>
                <w:color w:val="auto"/>
              </w:rPr>
            </w:pPr>
          </w:p>
        </w:tc>
      </w:tr>
      <w:tr>
        <w:trPr>
          <w:trHeight w:val="281"/>
        </w:trPr>
        <w:tc>
          <w:tcPr>
            <w:tcW w:w="6560" w:type="dxa"/>
            <w:vAlign w:val="bottom"/>
            <w:shd w:val="clear" w:color="auto" w:fill="E6E6E6"/>
          </w:tcPr>
          <w:p>
            <w:pPr>
              <w:ind w:left="60"/>
              <w:spacing w:after="0" w:line="281" w:lineRule="exact"/>
              <w:rPr>
                <w:sz w:val="20"/>
                <w:szCs w:val="20"/>
                <w:color w:val="auto"/>
              </w:rPr>
            </w:pPr>
            <w:r>
              <w:rPr>
                <w:rFonts w:ascii="Arial" w:cs="Arial" w:eastAsia="Arial" w:hAnsi="Arial"/>
                <w:sz w:val="20"/>
                <w:szCs w:val="20"/>
                <w:color w:val="auto"/>
              </w:rPr>
              <w:t xml:space="preserve">Vehicles </w:t>
            </w:r>
            <w:r>
              <w:rPr>
                <w:rFonts w:ascii="Arial" w:cs="Arial" w:eastAsia="Arial" w:hAnsi="Arial"/>
                <w:sz w:val="25"/>
                <w:szCs w:val="25"/>
                <w:color w:val="auto"/>
                <w:vertAlign w:val="superscript"/>
              </w:rPr>
              <w:t>(2)</w:t>
            </w:r>
          </w:p>
        </w:tc>
        <w:tc>
          <w:tcPr>
            <w:tcW w:w="200" w:type="dxa"/>
            <w:vAlign w:val="bottom"/>
            <w:shd w:val="clear" w:color="auto" w:fill="E6E6E6"/>
          </w:tcPr>
          <w:p>
            <w:pPr>
              <w:spacing w:after="0"/>
              <w:rPr>
                <w:sz w:val="24"/>
                <w:szCs w:val="24"/>
                <w:color w:val="auto"/>
              </w:rPr>
            </w:pPr>
          </w:p>
        </w:tc>
        <w:tc>
          <w:tcPr>
            <w:tcW w:w="1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1,455,530</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1,276,567</w:t>
            </w:r>
          </w:p>
        </w:tc>
        <w:tc>
          <w:tcPr>
            <w:tcW w:w="0" w:type="dxa"/>
            <w:vAlign w:val="bottom"/>
          </w:tcPr>
          <w:p>
            <w:pPr>
              <w:spacing w:after="0"/>
              <w:rPr>
                <w:sz w:val="1"/>
                <w:szCs w:val="1"/>
                <w:color w:val="auto"/>
              </w:rPr>
            </w:pPr>
          </w:p>
        </w:tc>
      </w:tr>
      <w:tr>
        <w:trPr>
          <w:trHeight w:val="281"/>
        </w:trPr>
        <w:tc>
          <w:tcPr>
            <w:tcW w:w="6560" w:type="dxa"/>
            <w:vAlign w:val="bottom"/>
          </w:tcPr>
          <w:p>
            <w:pPr>
              <w:ind w:left="60"/>
              <w:spacing w:after="0" w:line="281" w:lineRule="exact"/>
              <w:rPr>
                <w:sz w:val="20"/>
                <w:szCs w:val="20"/>
                <w:color w:val="auto"/>
              </w:rPr>
            </w:pPr>
            <w:r>
              <w:rPr>
                <w:rFonts w:ascii="Arial" w:cs="Arial" w:eastAsia="Arial" w:hAnsi="Arial"/>
                <w:sz w:val="20"/>
                <w:szCs w:val="20"/>
                <w:color w:val="auto"/>
              </w:rPr>
              <w:t xml:space="preserve">Equipment </w:t>
            </w:r>
            <w:r>
              <w:rPr>
                <w:rFonts w:ascii="Arial" w:cs="Arial" w:eastAsia="Arial" w:hAnsi="Arial"/>
                <w:sz w:val="25"/>
                <w:szCs w:val="25"/>
                <w:color w:val="auto"/>
                <w:vertAlign w:val="superscript"/>
              </w:rPr>
              <w:t>(3)</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2,600,085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2,388,370</w:t>
            </w:r>
          </w:p>
        </w:tc>
        <w:tc>
          <w:tcPr>
            <w:tcW w:w="0" w:type="dxa"/>
            <w:vAlign w:val="bottom"/>
          </w:tcPr>
          <w:p>
            <w:pPr>
              <w:spacing w:after="0"/>
              <w:rPr>
                <w:sz w:val="1"/>
                <w:szCs w:val="1"/>
                <w:color w:val="auto"/>
              </w:rPr>
            </w:pPr>
          </w:p>
        </w:tc>
      </w:tr>
      <w:tr>
        <w:trPr>
          <w:trHeight w:val="271"/>
        </w:trPr>
        <w:tc>
          <w:tcPr>
            <w:tcW w:w="65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Construction in progress</w:t>
            </w:r>
          </w:p>
        </w:tc>
        <w:tc>
          <w:tcPr>
            <w:tcW w:w="200" w:type="dxa"/>
            <w:vAlign w:val="bottom"/>
            <w:tcBorders>
              <w:bottom w:val="single" w:sz="8" w:color="auto"/>
            </w:tcBorders>
            <w:shd w:val="clear" w:color="auto" w:fill="E6E6E6"/>
          </w:tcPr>
          <w:p>
            <w:pPr>
              <w:spacing w:after="0"/>
              <w:rPr>
                <w:sz w:val="23"/>
                <w:szCs w:val="23"/>
                <w:color w:val="auto"/>
              </w:rPr>
            </w:pPr>
          </w:p>
        </w:tc>
        <w:tc>
          <w:tcPr>
            <w:tcW w:w="1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70,305</w:t>
            </w:r>
          </w:p>
        </w:tc>
        <w:tc>
          <w:tcPr>
            <w:tcW w:w="6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1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213,601</w:t>
            </w:r>
          </w:p>
        </w:tc>
        <w:tc>
          <w:tcPr>
            <w:tcW w:w="0" w:type="dxa"/>
            <w:vAlign w:val="bottom"/>
          </w:tcPr>
          <w:p>
            <w:pPr>
              <w:spacing w:after="0"/>
              <w:rPr>
                <w:sz w:val="1"/>
                <w:szCs w:val="1"/>
                <w:color w:val="auto"/>
              </w:rPr>
            </w:pPr>
          </w:p>
        </w:tc>
      </w:tr>
      <w:tr>
        <w:trPr>
          <w:trHeight w:val="265"/>
        </w:trPr>
        <w:tc>
          <w:tcPr>
            <w:tcW w:w="6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5,326,393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4,964,301</w:t>
            </w:r>
          </w:p>
        </w:tc>
        <w:tc>
          <w:tcPr>
            <w:tcW w:w="0" w:type="dxa"/>
            <w:vAlign w:val="bottom"/>
          </w:tcPr>
          <w:p>
            <w:pPr>
              <w:spacing w:after="0"/>
              <w:rPr>
                <w:sz w:val="1"/>
                <w:szCs w:val="1"/>
                <w:color w:val="auto"/>
              </w:rPr>
            </w:pPr>
          </w:p>
        </w:tc>
      </w:tr>
      <w:tr>
        <w:trPr>
          <w:trHeight w:val="296"/>
        </w:trPr>
        <w:tc>
          <w:tcPr>
            <w:tcW w:w="65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Less - accumulated depreciation and amortization</w:t>
            </w:r>
          </w:p>
        </w:tc>
        <w:tc>
          <w:tcPr>
            <w:tcW w:w="200" w:type="dxa"/>
            <w:vAlign w:val="bottom"/>
            <w:tcBorders>
              <w:bottom w:val="single" w:sz="8" w:color="auto"/>
            </w:tcBorders>
            <w:shd w:val="clear" w:color="auto" w:fill="E6E6E6"/>
          </w:tcPr>
          <w:p>
            <w:pPr>
              <w:spacing w:after="0"/>
              <w:rPr>
                <w:sz w:val="24"/>
                <w:szCs w:val="24"/>
                <w:color w:val="auto"/>
              </w:rPr>
            </w:pPr>
          </w:p>
        </w:tc>
        <w:tc>
          <w:tcPr>
            <w:tcW w:w="1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2,878,452</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2,770,983</w:t>
            </w:r>
          </w:p>
        </w:tc>
        <w:tc>
          <w:tcPr>
            <w:tcW w:w="0" w:type="dxa"/>
            <w:vAlign w:val="bottom"/>
          </w:tcPr>
          <w:p>
            <w:pPr>
              <w:spacing w:after="0"/>
              <w:rPr>
                <w:sz w:val="1"/>
                <w:szCs w:val="1"/>
                <w:color w:val="auto"/>
              </w:rPr>
            </w:pPr>
          </w:p>
        </w:tc>
      </w:tr>
      <w:tr>
        <w:trPr>
          <w:trHeight w:val="222"/>
        </w:trPr>
        <w:tc>
          <w:tcPr>
            <w:tcW w:w="6560" w:type="dxa"/>
            <w:vAlign w:val="bottom"/>
          </w:tcPr>
          <w:p>
            <w:pPr>
              <w:ind w:left="60"/>
              <w:spacing w:after="0" w:line="222" w:lineRule="exact"/>
              <w:rPr>
                <w:sz w:val="20"/>
                <w:szCs w:val="20"/>
                <w:color w:val="auto"/>
              </w:rPr>
            </w:pPr>
            <w:r>
              <w:rPr>
                <w:rFonts w:ascii="Arial" w:cs="Arial" w:eastAsia="Arial" w:hAnsi="Arial"/>
                <w:sz w:val="20"/>
                <w:szCs w:val="20"/>
                <w:color w:val="auto"/>
              </w:rPr>
              <w:t>Total property, plant and equipment, net</w:t>
            </w:r>
          </w:p>
        </w:tc>
        <w:tc>
          <w:tcPr>
            <w:tcW w:w="20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1540" w:type="dxa"/>
            <w:vAlign w:val="bottom"/>
          </w:tcPr>
          <w:p>
            <w:pPr>
              <w:jc w:val="right"/>
              <w:spacing w:after="0" w:line="222" w:lineRule="exact"/>
              <w:rPr>
                <w:sz w:val="20"/>
                <w:szCs w:val="20"/>
                <w:color w:val="auto"/>
              </w:rPr>
            </w:pPr>
            <w:r>
              <w:rPr>
                <w:rFonts w:ascii="Arial" w:cs="Arial" w:eastAsia="Arial" w:hAnsi="Arial"/>
                <w:sz w:val="20"/>
                <w:szCs w:val="20"/>
                <w:color w:val="auto"/>
              </w:rPr>
              <w:t>2,447,941</w:t>
            </w:r>
          </w:p>
        </w:tc>
        <w:tc>
          <w:tcPr>
            <w:tcW w:w="260" w:type="dxa"/>
            <w:vAlign w:val="bottom"/>
            <w:gridSpan w:val="2"/>
          </w:tcPr>
          <w:p>
            <w:pPr>
              <w:jc w:val="right"/>
              <w:ind w:right="40"/>
              <w:spacing w:after="0" w:line="222" w:lineRule="exact"/>
              <w:rPr>
                <w:sz w:val="20"/>
                <w:szCs w:val="20"/>
                <w:color w:val="auto"/>
              </w:rPr>
            </w:pPr>
            <w:r>
              <w:rPr>
                <w:rFonts w:ascii="Arial" w:cs="Arial" w:eastAsia="Arial" w:hAnsi="Arial"/>
                <w:sz w:val="20"/>
                <w:szCs w:val="20"/>
                <w:color w:val="auto"/>
              </w:rPr>
              <w:t>$</w:t>
            </w:r>
          </w:p>
        </w:tc>
        <w:tc>
          <w:tcPr>
            <w:tcW w:w="1540" w:type="dxa"/>
            <w:vAlign w:val="bottom"/>
          </w:tcPr>
          <w:p>
            <w:pPr>
              <w:jc w:val="right"/>
              <w:spacing w:after="0" w:line="222" w:lineRule="exact"/>
              <w:rPr>
                <w:sz w:val="20"/>
                <w:szCs w:val="20"/>
                <w:color w:val="auto"/>
              </w:rPr>
            </w:pPr>
            <w:r>
              <w:rPr>
                <w:rFonts w:ascii="Arial" w:cs="Arial" w:eastAsia="Arial" w:hAnsi="Arial"/>
                <w:sz w:val="20"/>
                <w:szCs w:val="20"/>
                <w:color w:val="auto"/>
              </w:rPr>
              <w:t>2,193,318</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-198120</wp:posOffset>
            </wp:positionV>
            <wp:extent cx="2267585" cy="501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67585" cy="50165"/>
                    </a:xfrm>
                    <a:prstGeom prst="rect">
                      <a:avLst/>
                    </a:prstGeom>
                    <a:noFill/>
                  </pic:spPr>
                </pic:pic>
              </a:graphicData>
            </a:graphic>
          </wp:anchor>
        </w:drawing>
      </w:r>
    </w:p>
    <w:p>
      <w:pPr>
        <w:ind w:left="640" w:hanging="27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Balances inclusive of gross ROU assets classified as finance leases of $8.0 million in both periods.</w:t>
      </w:r>
    </w:p>
    <w:p>
      <w:pPr>
        <w:spacing w:after="0" w:line="6" w:lineRule="exact"/>
        <w:rPr>
          <w:rFonts w:ascii="Arial" w:cs="Arial" w:eastAsia="Arial" w:hAnsi="Arial"/>
          <w:sz w:val="20"/>
          <w:szCs w:val="20"/>
          <w:color w:val="auto"/>
        </w:rPr>
      </w:pPr>
    </w:p>
    <w:p>
      <w:pPr>
        <w:ind w:left="640" w:hanging="27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$230.5 million and $151.7 million, respectively.</w:t>
      </w:r>
    </w:p>
    <w:p>
      <w:pPr>
        <w:spacing w:after="0" w:line="29" w:lineRule="exact"/>
        <w:rPr>
          <w:rFonts w:ascii="Arial" w:cs="Arial" w:eastAsia="Arial" w:hAnsi="Arial"/>
          <w:sz w:val="18"/>
          <w:szCs w:val="18"/>
          <w:color w:val="auto"/>
        </w:rPr>
      </w:pPr>
    </w:p>
    <w:p>
      <w:pPr>
        <w:ind w:left="640" w:hanging="27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Balances inclusive of gross ROU assets classified as finance leases of $9.2 million in both periods.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Depreciation expense, inclusive of landfill and finance lease amortization was $346.5 million, $315.5 million 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$297.4 million for the years ended December 31, 2024, 2023 and 2022, respectively. The Company recorded $11.2 million,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$6.6 million and $3.4 million of capitalized interest in 2024, 2023 and 2022, respectively, mainly due to the construction of the</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new incinerator in Kimball, Nebraska.</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880" w:h="15480" w:orient="portrait"/>
          <w:cols w:equalWidth="0" w:num="1">
            <w:col w:w="10120"/>
          </w:cols>
          <w:pgMar w:left="880" w:top="338" w:right="880" w:bottom="0" w:gutter="0" w:footer="0" w:header="0"/>
          <w:type w:val="continuous"/>
        </w:sectPr>
      </w:pPr>
    </w:p>
    <w:bookmarkStart w:id="80" w:name="page81"/>
    <w:bookmarkEnd w:id="80"/>
    <w:p>
      <w:pPr>
        <w:jc w:val="center"/>
        <w:ind w:right="-5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GOODWILL AND OTHER INTANGIBLE ASSETS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The changes in goodwill for the years ended December 31, 2024 and 2023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7"/>
              </w:rPr>
              <w:t>Environmental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5"/>
              <w:spacing w:after="0"/>
              <w:rPr>
                <w:sz w:val="20"/>
                <w:szCs w:val="20"/>
                <w:color w:val="auto"/>
              </w:rPr>
            </w:pPr>
            <w:r>
              <w:rPr>
                <w:rFonts w:ascii="Arial" w:cs="Arial" w:eastAsia="Arial" w:hAnsi="Arial"/>
                <w:sz w:val="16"/>
                <w:szCs w:val="16"/>
                <w:b w:val="1"/>
                <w:bCs w:val="1"/>
                <w:color w:val="auto"/>
                <w:w w:val="88"/>
              </w:rPr>
              <w:t>Safety-Kleen</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5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8"/>
              </w:rPr>
              <w:t>Sustainability</w:t>
            </w:r>
          </w:p>
        </w:tc>
        <w:tc>
          <w:tcPr>
            <w:tcW w:w="60" w:type="dxa"/>
            <w:vAlign w:val="bottom"/>
          </w:tcPr>
          <w:p>
            <w:pPr>
              <w:spacing w:after="0"/>
              <w:rPr>
                <w:sz w:val="13"/>
                <w:szCs w:val="13"/>
                <w:color w:val="auto"/>
              </w:rPr>
            </w:pPr>
          </w:p>
        </w:tc>
        <w:tc>
          <w:tcPr>
            <w:tcW w:w="1020" w:type="dxa"/>
            <w:vAlign w:val="bottom"/>
            <w:vMerge w:val="restart"/>
          </w:tcPr>
          <w:p>
            <w:pPr>
              <w:jc w:val="right"/>
              <w:ind w:right="22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656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w w:val="94"/>
              </w:rPr>
              <w:t>Services</w:t>
            </w:r>
          </w:p>
        </w:tc>
        <w:tc>
          <w:tcPr>
            <w:tcW w:w="8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5"/>
              <w:spacing w:after="0"/>
              <w:rPr>
                <w:sz w:val="20"/>
                <w:szCs w:val="20"/>
                <w:color w:val="auto"/>
              </w:rPr>
            </w:pPr>
            <w:r>
              <w:rPr>
                <w:rFonts w:ascii="Arial" w:cs="Arial" w:eastAsia="Arial" w:hAnsi="Arial"/>
                <w:sz w:val="16"/>
                <w:szCs w:val="16"/>
                <w:b w:val="1"/>
                <w:bCs w:val="1"/>
                <w:color w:val="auto"/>
                <w:w w:val="84"/>
              </w:rPr>
              <w:t>Solutions</w:t>
            </w:r>
          </w:p>
        </w:tc>
        <w:tc>
          <w:tcPr>
            <w:tcW w:w="60" w:type="dxa"/>
            <w:vAlign w:val="bottom"/>
            <w:tcBorders>
              <w:bottom w:val="single" w:sz="8" w:color="E6E6E6"/>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560" w:type="dxa"/>
            <w:vAlign w:val="bottom"/>
            <w:shd w:val="clear" w:color="auto" w:fill="E6E6E6"/>
          </w:tcPr>
          <w:p>
            <w:pPr>
              <w:ind w:left="60"/>
              <w:spacing w:after="0"/>
              <w:rPr>
                <w:sz w:val="20"/>
                <w:szCs w:val="20"/>
                <w:color w:val="auto"/>
              </w:rPr>
            </w:pPr>
            <w:r>
              <w:rPr>
                <w:rFonts w:ascii="Arial" w:cs="Arial" w:eastAsia="Arial" w:hAnsi="Arial"/>
                <w:sz w:val="20"/>
                <w:szCs w:val="20"/>
                <w:color w:val="auto"/>
              </w:rPr>
              <w:t>Balance at January 1, 2023</w:t>
            </w:r>
          </w:p>
        </w:tc>
        <w:tc>
          <w:tcPr>
            <w:tcW w:w="220" w:type="dxa"/>
            <w:vAlign w:val="bottom"/>
            <w:shd w:val="clear" w:color="auto" w:fill="E6E6E6"/>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4"/>
              </w:rPr>
              <w:t>1,071,846</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175,032</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w w:val="92"/>
              </w:rPr>
              <w:t>$ 1,246,878</w:t>
            </w:r>
          </w:p>
        </w:tc>
        <w:tc>
          <w:tcPr>
            <w:tcW w:w="0" w:type="dxa"/>
            <w:vAlign w:val="bottom"/>
          </w:tcPr>
          <w:p>
            <w:pPr>
              <w:spacing w:after="0"/>
              <w:rPr>
                <w:sz w:val="1"/>
                <w:szCs w:val="1"/>
                <w:color w:val="auto"/>
              </w:rPr>
            </w:pPr>
          </w:p>
        </w:tc>
      </w:tr>
      <w:tr>
        <w:trPr>
          <w:trHeight w:val="275"/>
        </w:trPr>
        <w:tc>
          <w:tcPr>
            <w:tcW w:w="6560" w:type="dxa"/>
            <w:vAlign w:val="bottom"/>
          </w:tcPr>
          <w:p>
            <w:pPr>
              <w:ind w:left="60"/>
              <w:spacing w:after="0"/>
              <w:rPr>
                <w:sz w:val="20"/>
                <w:szCs w:val="20"/>
                <w:color w:val="auto"/>
              </w:rPr>
            </w:pPr>
            <w:r>
              <w:rPr>
                <w:rFonts w:ascii="Arial" w:cs="Arial" w:eastAsia="Arial" w:hAnsi="Arial"/>
                <w:sz w:val="20"/>
                <w:szCs w:val="20"/>
                <w:color w:val="auto"/>
              </w:rPr>
              <w:t>Increase from current period acquisitions</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39,346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39,346</w:t>
            </w:r>
          </w:p>
        </w:tc>
        <w:tc>
          <w:tcPr>
            <w:tcW w:w="0" w:type="dxa"/>
            <w:vAlign w:val="bottom"/>
          </w:tcPr>
          <w:p>
            <w:pPr>
              <w:spacing w:after="0"/>
              <w:rPr>
                <w:sz w:val="1"/>
                <w:szCs w:val="1"/>
                <w:color w:val="auto"/>
              </w:rPr>
            </w:pPr>
          </w:p>
        </w:tc>
      </w:tr>
      <w:tr>
        <w:trPr>
          <w:trHeight w:val="287"/>
        </w:trPr>
        <w:tc>
          <w:tcPr>
            <w:tcW w:w="6560" w:type="dxa"/>
            <w:vAlign w:val="bottom"/>
            <w:shd w:val="clear" w:color="auto" w:fill="E6E6E6"/>
          </w:tcPr>
          <w:p>
            <w:pPr>
              <w:ind w:left="60"/>
              <w:spacing w:after="0"/>
              <w:rPr>
                <w:sz w:val="20"/>
                <w:szCs w:val="20"/>
                <w:color w:val="auto"/>
              </w:rPr>
            </w:pPr>
            <w:r>
              <w:rPr>
                <w:rFonts w:ascii="Arial" w:cs="Arial" w:eastAsia="Arial" w:hAnsi="Arial"/>
                <w:sz w:val="20"/>
                <w:szCs w:val="20"/>
                <w:color w:val="auto"/>
              </w:rPr>
              <w:t>Measurement period adjustments from prior period acquisition</w:t>
            </w: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360</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360</w:t>
            </w:r>
          </w:p>
        </w:tc>
        <w:tc>
          <w:tcPr>
            <w:tcW w:w="0" w:type="dxa"/>
            <w:vAlign w:val="bottom"/>
          </w:tcPr>
          <w:p>
            <w:pPr>
              <w:spacing w:after="0"/>
              <w:rPr>
                <w:sz w:val="1"/>
                <w:szCs w:val="1"/>
                <w:color w:val="auto"/>
              </w:rPr>
            </w:pPr>
          </w:p>
        </w:tc>
      </w:tr>
      <w:tr>
        <w:trPr>
          <w:trHeight w:val="271"/>
        </w:trPr>
        <w:tc>
          <w:tcPr>
            <w:tcW w:w="65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Foreign currency translation</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821</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w:t>
            </w:r>
          </w:p>
        </w:tc>
        <w:tc>
          <w:tcPr>
            <w:tcW w:w="60" w:type="dxa"/>
            <w:vAlign w:val="bottom"/>
            <w:tcBorders>
              <w:bottom w:val="single" w:sz="8" w:color="E6E6E6"/>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1,152</w:t>
            </w:r>
          </w:p>
        </w:tc>
        <w:tc>
          <w:tcPr>
            <w:tcW w:w="0" w:type="dxa"/>
            <w:vAlign w:val="bottom"/>
          </w:tcPr>
          <w:p>
            <w:pPr>
              <w:spacing w:after="0"/>
              <w:rPr>
                <w:sz w:val="1"/>
                <w:szCs w:val="1"/>
                <w:color w:val="auto"/>
              </w:rPr>
            </w:pPr>
          </w:p>
        </w:tc>
      </w:tr>
      <w:tr>
        <w:trPr>
          <w:trHeight w:val="271"/>
        </w:trPr>
        <w:tc>
          <w:tcPr>
            <w:tcW w:w="6560" w:type="dxa"/>
            <w:vAlign w:val="bottom"/>
            <w:shd w:val="clear" w:color="auto" w:fill="E6E6E6"/>
          </w:tcPr>
          <w:p>
            <w:pPr>
              <w:ind w:left="60"/>
              <w:spacing w:after="0"/>
              <w:rPr>
                <w:sz w:val="20"/>
                <w:szCs w:val="20"/>
                <w:color w:val="auto"/>
              </w:rPr>
            </w:pPr>
            <w:r>
              <w:rPr>
                <w:rFonts w:ascii="Arial" w:cs="Arial" w:eastAsia="Arial" w:hAnsi="Arial"/>
                <w:sz w:val="20"/>
                <w:szCs w:val="20"/>
                <w:color w:val="auto"/>
              </w:rPr>
              <w:t>Balance at December 31, 2023</w:t>
            </w:r>
          </w:p>
        </w:tc>
        <w:tc>
          <w:tcPr>
            <w:tcW w:w="220" w:type="dxa"/>
            <w:vAlign w:val="bottom"/>
            <w:shd w:val="clear" w:color="auto" w:fill="E6E6E6"/>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4"/>
              </w:rPr>
              <w:t>1,112,013</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175,723</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w w:val="92"/>
              </w:rPr>
              <w:t>$ 1,287,736</w:t>
            </w:r>
          </w:p>
        </w:tc>
        <w:tc>
          <w:tcPr>
            <w:tcW w:w="0" w:type="dxa"/>
            <w:vAlign w:val="bottom"/>
          </w:tcPr>
          <w:p>
            <w:pPr>
              <w:spacing w:after="0"/>
              <w:rPr>
                <w:sz w:val="1"/>
                <w:szCs w:val="1"/>
                <w:color w:val="auto"/>
              </w:rPr>
            </w:pPr>
          </w:p>
        </w:tc>
      </w:tr>
      <w:tr>
        <w:trPr>
          <w:trHeight w:val="275"/>
        </w:trPr>
        <w:tc>
          <w:tcPr>
            <w:tcW w:w="6560" w:type="dxa"/>
            <w:vAlign w:val="bottom"/>
          </w:tcPr>
          <w:p>
            <w:pPr>
              <w:ind w:left="60"/>
              <w:spacing w:after="0"/>
              <w:rPr>
                <w:sz w:val="20"/>
                <w:szCs w:val="20"/>
                <w:color w:val="auto"/>
              </w:rPr>
            </w:pPr>
            <w:r>
              <w:rPr>
                <w:rFonts w:ascii="Arial" w:cs="Arial" w:eastAsia="Arial" w:hAnsi="Arial"/>
                <w:sz w:val="20"/>
                <w:szCs w:val="20"/>
                <w:color w:val="auto"/>
              </w:rPr>
              <w:t>Increase from current period acquisitions</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186,911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6,457</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193,368</w:t>
            </w:r>
          </w:p>
        </w:tc>
        <w:tc>
          <w:tcPr>
            <w:tcW w:w="0" w:type="dxa"/>
            <w:vAlign w:val="bottom"/>
          </w:tcPr>
          <w:p>
            <w:pPr>
              <w:spacing w:after="0"/>
              <w:rPr>
                <w:sz w:val="1"/>
                <w:szCs w:val="1"/>
                <w:color w:val="auto"/>
              </w:rPr>
            </w:pPr>
          </w:p>
        </w:tc>
      </w:tr>
      <w:tr>
        <w:trPr>
          <w:trHeight w:val="287"/>
        </w:trPr>
        <w:tc>
          <w:tcPr>
            <w:tcW w:w="6560" w:type="dxa"/>
            <w:vAlign w:val="bottom"/>
            <w:shd w:val="clear" w:color="auto" w:fill="E6E6E6"/>
          </w:tcPr>
          <w:p>
            <w:pPr>
              <w:ind w:left="60"/>
              <w:spacing w:after="0"/>
              <w:rPr>
                <w:sz w:val="20"/>
                <w:szCs w:val="20"/>
                <w:color w:val="auto"/>
              </w:rPr>
            </w:pPr>
            <w:r>
              <w:rPr>
                <w:rFonts w:ascii="Arial" w:cs="Arial" w:eastAsia="Arial" w:hAnsi="Arial"/>
                <w:sz w:val="20"/>
                <w:szCs w:val="20"/>
                <w:color w:val="auto"/>
              </w:rPr>
              <w:t>Measurement period adjustments from prior period acquisitions</w:t>
            </w: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218</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218</w:t>
            </w:r>
          </w:p>
        </w:tc>
        <w:tc>
          <w:tcPr>
            <w:tcW w:w="0" w:type="dxa"/>
            <w:vAlign w:val="bottom"/>
          </w:tcPr>
          <w:p>
            <w:pPr>
              <w:spacing w:after="0"/>
              <w:rPr>
                <w:sz w:val="1"/>
                <w:szCs w:val="1"/>
                <w:color w:val="auto"/>
              </w:rPr>
            </w:pPr>
          </w:p>
        </w:tc>
      </w:tr>
      <w:tr>
        <w:trPr>
          <w:trHeight w:val="271"/>
        </w:trPr>
        <w:tc>
          <w:tcPr>
            <w:tcW w:w="65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Foreign currency translation</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(2,938)</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(1,185)</w:t>
            </w:r>
          </w:p>
        </w:tc>
        <w:tc>
          <w:tcPr>
            <w:tcW w:w="60" w:type="dxa"/>
            <w:vAlign w:val="bottom"/>
            <w:tcBorders>
              <w:bottom w:val="single" w:sz="8" w:color="E6E6E6"/>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(4,123)</w:t>
            </w:r>
          </w:p>
        </w:tc>
        <w:tc>
          <w:tcPr>
            <w:tcW w:w="0" w:type="dxa"/>
            <w:vAlign w:val="bottom"/>
          </w:tcPr>
          <w:p>
            <w:pPr>
              <w:spacing w:after="0"/>
              <w:rPr>
                <w:sz w:val="1"/>
                <w:szCs w:val="1"/>
                <w:color w:val="auto"/>
              </w:rPr>
            </w:pPr>
          </w:p>
        </w:tc>
      </w:tr>
      <w:tr>
        <w:trPr>
          <w:trHeight w:val="280"/>
        </w:trPr>
        <w:tc>
          <w:tcPr>
            <w:tcW w:w="65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Balance at December 31, 2024</w:t>
            </w:r>
          </w:p>
        </w:tc>
        <w:tc>
          <w:tcPr>
            <w:tcW w:w="22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4"/>
              </w:rPr>
              <w:t>1,296,204</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180,995</w:t>
            </w:r>
          </w:p>
        </w:tc>
        <w:tc>
          <w:tcPr>
            <w:tcW w:w="6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7"/>
              </w:rPr>
              <w:t>$ 1,477,199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4147820</wp:posOffset>
            </wp:positionH>
            <wp:positionV relativeFrom="paragraph">
              <wp:posOffset>-43180</wp:posOffset>
            </wp:positionV>
            <wp:extent cx="2258060" cy="50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58060" cy="50165"/>
                    </a:xfrm>
                    <a:prstGeom prst="rect">
                      <a:avLst/>
                    </a:prstGeom>
                    <a:noFill/>
                  </pic:spPr>
                </pic:pic>
              </a:graphicData>
            </a:graphic>
          </wp:anchor>
        </w:drawing>
      </w:r>
    </w:p>
    <w:p>
      <w:pPr>
        <w:spacing w:after="0" w:line="145" w:lineRule="exact"/>
        <w:rPr>
          <w:sz w:val="20"/>
          <w:szCs w:val="20"/>
          <w:color w:val="auto"/>
        </w:rPr>
      </w:pPr>
    </w:p>
    <w:p>
      <w:pPr>
        <w:ind w:right="60" w:firstLine="709"/>
        <w:spacing w:after="0" w:line="303" w:lineRule="auto"/>
        <w:rPr>
          <w:sz w:val="20"/>
          <w:szCs w:val="20"/>
          <w:color w:val="auto"/>
        </w:rPr>
      </w:pPr>
      <w:r>
        <w:rPr>
          <w:rFonts w:ascii="Arial" w:cs="Arial" w:eastAsia="Arial" w:hAnsi="Arial"/>
          <w:sz w:val="18"/>
          <w:szCs w:val="18"/>
          <w:color w:val="auto"/>
        </w:rPr>
        <w:t>The Company assesses goodwill for impairment on an annual basis as of December 31 or at an interim date when it is more likely than not that events or changes in the business environment (“triggering events”) would reduce the fair value of a reporting unit below its carrying value. The Company did not identify any triggering events in the years presented.</w:t>
      </w:r>
    </w:p>
    <w:p>
      <w:pPr>
        <w:spacing w:after="0" w:line="83" w:lineRule="exact"/>
        <w:rPr>
          <w:sz w:val="20"/>
          <w:szCs w:val="20"/>
          <w:color w:val="auto"/>
        </w:rPr>
      </w:pPr>
    </w:p>
    <w:p>
      <w:pPr>
        <w:ind w:right="20" w:firstLine="709"/>
        <w:spacing w:after="0" w:line="265" w:lineRule="auto"/>
        <w:rPr>
          <w:sz w:val="20"/>
          <w:szCs w:val="20"/>
          <w:color w:val="auto"/>
        </w:rPr>
      </w:pPr>
      <w:r>
        <w:rPr>
          <w:rFonts w:ascii="Arial" w:cs="Arial" w:eastAsia="Arial" w:hAnsi="Arial"/>
          <w:sz w:val="19"/>
          <w:szCs w:val="19"/>
          <w:color w:val="auto"/>
        </w:rPr>
        <w:t>Goodwill is also tested for impairment annually. The Company conducted its annual impairment test of goodwill as of December 31, 2024 and determined that no adjustment to the carrying value of goodwill for any reporting unit was then necessary because the fair values of the reporting units exceeded their respective carrying values. The fair value of all reporting units was determined using an income approach based upon estimates of future discounted cash flows. The resulting estimates of fair value were validated through the consideration of other factors such as the fair value of comparable companies to the reporting units and a reconciliation of the sum of all estimated fair values of the reporting units to the Company’s overall market capitalization. In all cases, the estimated fair values of the reporting units significantly exceeded the respective carrying values.</w:t>
      </w:r>
    </w:p>
    <w:p>
      <w:pPr>
        <w:spacing w:after="0" w:line="119" w:lineRule="exact"/>
        <w:rPr>
          <w:sz w:val="20"/>
          <w:szCs w:val="20"/>
          <w:color w:val="auto"/>
        </w:rPr>
      </w:pPr>
    </w:p>
    <w:p>
      <w:pPr>
        <w:ind w:right="80" w:firstLine="709"/>
        <w:spacing w:after="0" w:line="252" w:lineRule="auto"/>
        <w:rPr>
          <w:sz w:val="20"/>
          <w:szCs w:val="20"/>
          <w:color w:val="auto"/>
        </w:rPr>
      </w:pPr>
      <w:r>
        <w:rPr>
          <w:rFonts w:ascii="Arial" w:cs="Arial" w:eastAsia="Arial" w:hAnsi="Arial"/>
          <w:sz w:val="20"/>
          <w:szCs w:val="20"/>
          <w:color w:val="auto"/>
        </w:rPr>
        <w:t>Significant judgments and unobservable inputs, categorized as Level 3 in the fair value hierarchy, are inherent in the impairment tests performed and include assumptions about the amount and timing of expected future cash flows, growth rates, and the determination of appropriate discount rates. Level 3 inputs are unobservable inputs for the asset or liability in which there is little, if any, market activity for the asset or liability at the measurement date. The Company believes that the assumptions used in its impairment tests are reasonable, but variations in any of the assumptions may result in different measurements of fair values.</w:t>
      </w:r>
    </w:p>
    <w:p>
      <w:pPr>
        <w:spacing w:after="0" w:line="127" w:lineRule="exact"/>
        <w:rPr>
          <w:sz w:val="20"/>
          <w:szCs w:val="20"/>
          <w:color w:val="auto"/>
        </w:rPr>
      </w:pPr>
    </w:p>
    <w:p>
      <w:pPr>
        <w:ind w:firstLine="709"/>
        <w:spacing w:after="0" w:line="254" w:lineRule="auto"/>
        <w:rPr>
          <w:sz w:val="20"/>
          <w:szCs w:val="20"/>
          <w:color w:val="auto"/>
        </w:rPr>
      </w:pPr>
      <w:r>
        <w:rPr>
          <w:rFonts w:ascii="Arial" w:cs="Arial" w:eastAsia="Arial" w:hAnsi="Arial"/>
          <w:sz w:val="20"/>
          <w:szCs w:val="20"/>
          <w:color w:val="auto"/>
        </w:rPr>
        <w:t>The impacts of any adverse business and market conditions which may impact the overall performance of the Company's reporting units will continue to be monitored. If the Company's reporting units do not achieve the financial performance that the Company expects, or if there is a significant prolonged change in demand for the Company's products and services, it is possible that goodwill impairment charges may result. Therefore, there can be no assurance that future events will not result in an impairment of goodwill.</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As of December 31, 2024 and 2023, the Company's intangible assets consisted of the following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86"/>
              </w:rPr>
              <w:t>December 31, 2024</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86"/>
              </w:rPr>
              <w:t>December 31, 2023</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184"/>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ind w:left="60"/>
              <w:spacing w:after="0" w:line="183"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5"/>
                <w:szCs w:val="15"/>
                <w:color w:val="auto"/>
              </w:rPr>
            </w:pPr>
          </w:p>
        </w:tc>
        <w:tc>
          <w:tcPr>
            <w:tcW w:w="800" w:type="dxa"/>
            <w:vAlign w:val="bottom"/>
            <w:vMerge w:val="restart"/>
          </w:tcPr>
          <w:p>
            <w:pPr>
              <w:jc w:val="right"/>
              <w:ind w:right="304"/>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184"/>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ind w:left="60"/>
              <w:spacing w:after="0" w:line="183"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5"/>
                <w:szCs w:val="15"/>
                <w:color w:val="auto"/>
              </w:rPr>
            </w:pPr>
          </w:p>
        </w:tc>
        <w:tc>
          <w:tcPr>
            <w:tcW w:w="800" w:type="dxa"/>
            <w:vAlign w:val="bottom"/>
            <w:vMerge w:val="restart"/>
          </w:tcPr>
          <w:p>
            <w:pPr>
              <w:jc w:val="right"/>
              <w:ind w:right="304"/>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1"/>
        </w:trPr>
        <w:tc>
          <w:tcPr>
            <w:tcW w:w="35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Amortization</w:t>
            </w:r>
          </w:p>
        </w:tc>
        <w:tc>
          <w:tcPr>
            <w:tcW w:w="8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Amortization</w:t>
            </w:r>
          </w:p>
        </w:tc>
        <w:tc>
          <w:tcPr>
            <w:tcW w:w="8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560" w:type="dxa"/>
            <w:vAlign w:val="bottom"/>
            <w:shd w:val="clear" w:color="auto" w:fill="E6E6E6"/>
          </w:tcPr>
          <w:p>
            <w:pPr>
              <w:ind w:left="60"/>
              <w:spacing w:after="0"/>
              <w:rPr>
                <w:sz w:val="20"/>
                <w:szCs w:val="20"/>
                <w:color w:val="auto"/>
              </w:rPr>
            </w:pPr>
            <w:r>
              <w:rPr>
                <w:rFonts w:ascii="Arial" w:cs="Arial" w:eastAsia="Arial" w:hAnsi="Arial"/>
                <w:sz w:val="20"/>
                <w:szCs w:val="20"/>
                <w:color w:val="auto"/>
              </w:rPr>
              <w:t>Permits</w:t>
            </w: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191,921</w:t>
            </w:r>
          </w:p>
        </w:tc>
        <w:tc>
          <w:tcPr>
            <w:tcW w:w="360" w:type="dxa"/>
            <w:vAlign w:val="bottom"/>
            <w:gridSpan w:val="3"/>
            <w:shd w:val="clear" w:color="auto" w:fill="E6E6E6"/>
          </w:tcPr>
          <w:p>
            <w:pPr>
              <w:ind w:left="200"/>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6"/>
              </w:rPr>
              <w:t>123,939</w:t>
            </w:r>
          </w:p>
        </w:tc>
        <w:tc>
          <w:tcPr>
            <w:tcW w:w="8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67,982</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191,747</w:t>
            </w:r>
          </w:p>
        </w:tc>
        <w:tc>
          <w:tcPr>
            <w:tcW w:w="360" w:type="dxa"/>
            <w:vAlign w:val="bottom"/>
            <w:gridSpan w:val="3"/>
            <w:shd w:val="clear" w:color="auto" w:fill="E6E6E6"/>
          </w:tcPr>
          <w:p>
            <w:pPr>
              <w:ind w:left="200"/>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6"/>
              </w:rPr>
              <w:t>117,556</w:t>
            </w:r>
          </w:p>
        </w:tc>
        <w:tc>
          <w:tcPr>
            <w:tcW w:w="8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74,191</w:t>
            </w:r>
          </w:p>
        </w:tc>
        <w:tc>
          <w:tcPr>
            <w:tcW w:w="0" w:type="dxa"/>
            <w:vAlign w:val="bottom"/>
          </w:tcPr>
          <w:p>
            <w:pPr>
              <w:spacing w:after="0"/>
              <w:rPr>
                <w:sz w:val="1"/>
                <w:szCs w:val="1"/>
                <w:color w:val="auto"/>
              </w:rPr>
            </w:pPr>
          </w:p>
        </w:tc>
      </w:tr>
      <w:tr>
        <w:trPr>
          <w:trHeight w:val="275"/>
        </w:trPr>
        <w:tc>
          <w:tcPr>
            <w:tcW w:w="3560" w:type="dxa"/>
            <w:vAlign w:val="bottom"/>
          </w:tcPr>
          <w:p>
            <w:pPr>
              <w:ind w:left="60"/>
              <w:spacing w:after="0"/>
              <w:rPr>
                <w:sz w:val="20"/>
                <w:szCs w:val="20"/>
                <w:color w:val="auto"/>
              </w:rPr>
            </w:pPr>
            <w:r>
              <w:rPr>
                <w:rFonts w:ascii="Arial" w:cs="Arial" w:eastAsia="Arial" w:hAnsi="Arial"/>
                <w:sz w:val="20"/>
                <w:szCs w:val="20"/>
                <w:color w:val="auto"/>
              </w:rPr>
              <w:t>Customer and supplier relationships</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697,326</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6"/>
              </w:rPr>
              <w:t>256,657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6"/>
              </w:rPr>
              <w:t>440,669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604,994</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6"/>
              </w:rPr>
              <w:t>258,879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6"/>
              </w:rPr>
              <w:t>346,115</w:t>
            </w:r>
          </w:p>
        </w:tc>
        <w:tc>
          <w:tcPr>
            <w:tcW w:w="0" w:type="dxa"/>
            <w:vAlign w:val="bottom"/>
          </w:tcPr>
          <w:p>
            <w:pPr>
              <w:spacing w:after="0"/>
              <w:rPr>
                <w:sz w:val="1"/>
                <w:szCs w:val="1"/>
                <w:color w:val="auto"/>
              </w:rPr>
            </w:pPr>
          </w:p>
        </w:tc>
      </w:tr>
      <w:tr>
        <w:trPr>
          <w:trHeight w:val="296"/>
        </w:trPr>
        <w:tc>
          <w:tcPr>
            <w:tcW w:w="35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Other intangible assets</w:t>
            </w:r>
          </w:p>
        </w:tc>
        <w:tc>
          <w:tcPr>
            <w:tcW w:w="16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120,316</w:t>
            </w:r>
          </w:p>
        </w:tc>
        <w:tc>
          <w:tcPr>
            <w:tcW w:w="60" w:type="dxa"/>
            <w:vAlign w:val="bottom"/>
            <w:tcBorders>
              <w:bottom w:val="single" w:sz="8" w:color="auto"/>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46,490</w:t>
            </w:r>
          </w:p>
        </w:tc>
        <w:tc>
          <w:tcPr>
            <w:tcW w:w="8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73,826</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100,068</w:t>
            </w:r>
          </w:p>
        </w:tc>
        <w:tc>
          <w:tcPr>
            <w:tcW w:w="60" w:type="dxa"/>
            <w:vAlign w:val="bottom"/>
            <w:tcBorders>
              <w:bottom w:val="single" w:sz="8" w:color="auto"/>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37,862</w:t>
            </w:r>
          </w:p>
        </w:tc>
        <w:tc>
          <w:tcPr>
            <w:tcW w:w="8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62,206</w:t>
            </w:r>
          </w:p>
        </w:tc>
        <w:tc>
          <w:tcPr>
            <w:tcW w:w="0" w:type="dxa"/>
            <w:vAlign w:val="bottom"/>
          </w:tcPr>
          <w:p>
            <w:pPr>
              <w:spacing w:after="0"/>
              <w:rPr>
                <w:sz w:val="1"/>
                <w:szCs w:val="1"/>
                <w:color w:val="auto"/>
              </w:rPr>
            </w:pPr>
          </w:p>
        </w:tc>
      </w:tr>
      <w:tr>
        <w:trPr>
          <w:trHeight w:val="175"/>
        </w:trPr>
        <w:tc>
          <w:tcPr>
            <w:tcW w:w="3560" w:type="dxa"/>
            <w:vAlign w:val="bottom"/>
          </w:tcPr>
          <w:p>
            <w:pPr>
              <w:ind w:left="60"/>
              <w:spacing w:after="0" w:line="175" w:lineRule="exact"/>
              <w:rPr>
                <w:sz w:val="20"/>
                <w:szCs w:val="20"/>
                <w:color w:val="auto"/>
              </w:rPr>
            </w:pPr>
            <w:r>
              <w:rPr>
                <w:rFonts w:ascii="Arial" w:cs="Arial" w:eastAsia="Arial" w:hAnsi="Arial"/>
                <w:sz w:val="20"/>
                <w:szCs w:val="20"/>
                <w:color w:val="auto"/>
              </w:rPr>
              <w:t>Total amortizable permits and other</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85"/>
              </w:rPr>
              <w:t>1,009,563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427,086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582,477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896,809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414,297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482,512</w:t>
            </w:r>
          </w:p>
        </w:tc>
        <w:tc>
          <w:tcPr>
            <w:tcW w:w="0" w:type="dxa"/>
            <w:vAlign w:val="bottom"/>
          </w:tcPr>
          <w:p>
            <w:pPr>
              <w:spacing w:after="0"/>
              <w:rPr>
                <w:sz w:val="1"/>
                <w:szCs w:val="1"/>
                <w:color w:val="auto"/>
              </w:rPr>
            </w:pPr>
          </w:p>
        </w:tc>
      </w:tr>
      <w:tr>
        <w:trPr>
          <w:trHeight w:val="259"/>
        </w:trPr>
        <w:tc>
          <w:tcPr>
            <w:tcW w:w="3560" w:type="dxa"/>
            <w:vAlign w:val="bottom"/>
            <w:tcBorders>
              <w:bottom w:val="single" w:sz="8" w:color="E6E6E6"/>
            </w:tcBorders>
          </w:tcPr>
          <w:p>
            <w:pPr>
              <w:ind w:left="240"/>
              <w:spacing w:after="0"/>
              <w:rPr>
                <w:sz w:val="20"/>
                <w:szCs w:val="20"/>
                <w:color w:val="auto"/>
              </w:rPr>
            </w:pPr>
            <w:r>
              <w:rPr>
                <w:rFonts w:ascii="Arial" w:cs="Arial" w:eastAsia="Arial" w:hAnsi="Arial"/>
                <w:sz w:val="20"/>
                <w:szCs w:val="20"/>
                <w:color w:val="auto"/>
              </w:rPr>
              <w:t>intangible assets</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5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Trademarks and trade names</w:t>
            </w:r>
          </w:p>
        </w:tc>
        <w:tc>
          <w:tcPr>
            <w:tcW w:w="16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119,510</w:t>
            </w:r>
          </w:p>
        </w:tc>
        <w:tc>
          <w:tcPr>
            <w:tcW w:w="60" w:type="dxa"/>
            <w:vAlign w:val="bottom"/>
            <w:tcBorders>
              <w:bottom w:val="single" w:sz="8" w:color="auto"/>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6"/>
              </w:rPr>
              <w:t>119,510</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120,285</w:t>
            </w:r>
          </w:p>
        </w:tc>
        <w:tc>
          <w:tcPr>
            <w:tcW w:w="60" w:type="dxa"/>
            <w:vAlign w:val="bottom"/>
            <w:tcBorders>
              <w:bottom w:val="single" w:sz="8" w:color="auto"/>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6"/>
              </w:rPr>
              <w:t>120,285</w:t>
            </w:r>
          </w:p>
        </w:tc>
        <w:tc>
          <w:tcPr>
            <w:tcW w:w="0" w:type="dxa"/>
            <w:vAlign w:val="bottom"/>
          </w:tcPr>
          <w:p>
            <w:pPr>
              <w:spacing w:after="0"/>
              <w:rPr>
                <w:sz w:val="1"/>
                <w:szCs w:val="1"/>
                <w:color w:val="auto"/>
              </w:rPr>
            </w:pPr>
          </w:p>
        </w:tc>
      </w:tr>
      <w:tr>
        <w:trPr>
          <w:trHeight w:val="222"/>
        </w:trPr>
        <w:tc>
          <w:tcPr>
            <w:tcW w:w="3560" w:type="dxa"/>
            <w:vAlign w:val="bottom"/>
          </w:tcPr>
          <w:p>
            <w:pPr>
              <w:ind w:left="60"/>
              <w:spacing w:after="0" w:line="222" w:lineRule="exact"/>
              <w:rPr>
                <w:sz w:val="20"/>
                <w:szCs w:val="20"/>
                <w:color w:val="auto"/>
              </w:rPr>
            </w:pPr>
            <w:r>
              <w:rPr>
                <w:rFonts w:ascii="Arial" w:cs="Arial" w:eastAsia="Arial" w:hAnsi="Arial"/>
                <w:sz w:val="20"/>
                <w:szCs w:val="20"/>
                <w:color w:val="auto"/>
                <w:w w:val="96"/>
              </w:rPr>
              <w:t>Total permits and other intangible assets</w:t>
            </w:r>
          </w:p>
        </w:tc>
        <w:tc>
          <w:tcPr>
            <w:tcW w:w="16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w w:val="85"/>
              </w:rPr>
              <w:t>1,129,073</w:t>
            </w:r>
          </w:p>
        </w:tc>
        <w:tc>
          <w:tcPr>
            <w:tcW w:w="360" w:type="dxa"/>
            <w:vAlign w:val="bottom"/>
            <w:gridSpan w:val="3"/>
          </w:tcPr>
          <w:p>
            <w:pPr>
              <w:ind w:left="200"/>
              <w:spacing w:after="0" w:line="222" w:lineRule="exact"/>
              <w:rPr>
                <w:sz w:val="20"/>
                <w:szCs w:val="20"/>
                <w:color w:val="auto"/>
              </w:rPr>
            </w:pPr>
            <w:r>
              <w:rPr>
                <w:rFonts w:ascii="Arial" w:cs="Arial" w:eastAsia="Arial" w:hAnsi="Arial"/>
                <w:sz w:val="20"/>
                <w:szCs w:val="20"/>
                <w:color w:val="auto"/>
              </w:rPr>
              <w:t>$</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w w:val="96"/>
              </w:rPr>
              <w:t>427,086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line="222" w:lineRule="exact"/>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w w:val="96"/>
              </w:rPr>
              <w:t>701,987</w:t>
            </w:r>
          </w:p>
        </w:tc>
        <w:tc>
          <w:tcPr>
            <w:tcW w:w="2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w w:val="85"/>
              </w:rPr>
              <w:t>1,017,094</w:t>
            </w:r>
          </w:p>
        </w:tc>
        <w:tc>
          <w:tcPr>
            <w:tcW w:w="360" w:type="dxa"/>
            <w:vAlign w:val="bottom"/>
            <w:gridSpan w:val="3"/>
          </w:tcPr>
          <w:p>
            <w:pPr>
              <w:ind w:left="200"/>
              <w:spacing w:after="0" w:line="222" w:lineRule="exact"/>
              <w:rPr>
                <w:sz w:val="20"/>
                <w:szCs w:val="20"/>
                <w:color w:val="auto"/>
              </w:rPr>
            </w:pPr>
            <w:r>
              <w:rPr>
                <w:rFonts w:ascii="Arial" w:cs="Arial" w:eastAsia="Arial" w:hAnsi="Arial"/>
                <w:sz w:val="20"/>
                <w:szCs w:val="20"/>
                <w:color w:val="auto"/>
              </w:rPr>
              <w:t>$</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w w:val="96"/>
              </w:rPr>
              <w:t>414,297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line="222" w:lineRule="exact"/>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w w:val="96"/>
              </w:rPr>
              <w:t>602,797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-43180</wp:posOffset>
            </wp:positionV>
            <wp:extent cx="4144010" cy="501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44010" cy="50165"/>
                    </a:xfrm>
                    <a:prstGeom prst="rect">
                      <a:avLst/>
                    </a:prstGeom>
                    <a:noFill/>
                  </pic:spPr>
                </pic:pic>
              </a:graphicData>
            </a:graphic>
          </wp:anchor>
        </w:drawing>
      </w:r>
    </w:p>
    <w:p>
      <w:pPr>
        <w:sectPr>
          <w:pgSz w:w="11880" w:h="15480" w:orient="portrait"/>
          <w:cols w:equalWidth="0" w:num="1">
            <w:col w:w="10060"/>
          </w:cols>
          <w:pgMar w:left="880" w:top="3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ectPr>
          <w:pgSz w:w="11880" w:h="15480" w:orient="portrait"/>
          <w:cols w:equalWidth="0" w:num="1">
            <w:col w:w="10060"/>
          </w:cols>
          <w:pgMar w:left="880" w:top="338" w:right="940" w:bottom="0" w:gutter="0" w:footer="0" w:header="0"/>
          <w:type w:val="continuous"/>
        </w:sectPr>
      </w:pPr>
    </w:p>
    <w:bookmarkStart w:id="81" w:name="page82"/>
    <w:bookmarkEnd w:id="81"/>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jc w:val="both"/>
        <w:ind w:right="40" w:firstLine="709"/>
        <w:spacing w:after="0" w:line="256" w:lineRule="auto"/>
        <w:rPr>
          <w:sz w:val="20"/>
          <w:szCs w:val="20"/>
          <w:color w:val="auto"/>
        </w:rPr>
      </w:pPr>
      <w:r>
        <w:rPr>
          <w:rFonts w:ascii="Arial" w:cs="Arial" w:eastAsia="Arial" w:hAnsi="Arial"/>
          <w:sz w:val="20"/>
          <w:szCs w:val="20"/>
          <w:color w:val="auto"/>
        </w:rPr>
        <w:t>During the periods presented, there were no events or changes in circumstances which would indicate that the carrying values of the Company's asset groups would not be recoverable and thus no impairment charges were recorded</w:t>
      </w:r>
      <w:r>
        <w:rPr>
          <w:rFonts w:ascii="Arial" w:cs="Arial" w:eastAsia="Arial" w:hAnsi="Arial"/>
          <w:sz w:val="20"/>
          <w:szCs w:val="20"/>
          <w:b w:val="1"/>
          <w:bCs w:val="1"/>
          <w:color w:val="auto"/>
        </w:rPr>
        <w:t>.</w:t>
      </w:r>
      <w:r>
        <w:rPr>
          <w:rFonts w:ascii="Arial" w:cs="Arial" w:eastAsia="Arial" w:hAnsi="Arial"/>
          <w:sz w:val="20"/>
          <w:szCs w:val="20"/>
          <w:color w:val="auto"/>
        </w:rPr>
        <w:t xml:space="preserve"> If expectations of future cash flows were to decrease in the future as a result of worse than expected or prolonged periods of depressed activity, future impairments may become evident.</w:t>
      </w:r>
    </w:p>
    <w:p>
      <w:pPr>
        <w:spacing w:after="0" w:line="122" w:lineRule="exact"/>
        <w:rPr>
          <w:sz w:val="20"/>
          <w:szCs w:val="20"/>
          <w:color w:val="auto"/>
        </w:rPr>
      </w:pPr>
    </w:p>
    <w:p>
      <w:pPr>
        <w:ind w:right="220" w:firstLine="709"/>
        <w:spacing w:after="0" w:line="303" w:lineRule="auto"/>
        <w:rPr>
          <w:sz w:val="20"/>
          <w:szCs w:val="20"/>
          <w:color w:val="auto"/>
        </w:rPr>
      </w:pPr>
      <w:r>
        <w:rPr>
          <w:rFonts w:ascii="Arial" w:cs="Arial" w:eastAsia="Arial" w:hAnsi="Arial"/>
          <w:sz w:val="19"/>
          <w:szCs w:val="19"/>
          <w:color w:val="auto"/>
        </w:rPr>
        <w:t>Amortization expense of permits, customer and supplier relationships and other intangible assets for the years ended December 31, 2024, 2023 and 2022 were $54.4 million, $50.3 million and $50.2 million, respectively.</w:t>
      </w:r>
    </w:p>
    <w:p>
      <w:pPr>
        <w:spacing w:after="0" w:line="79" w:lineRule="exact"/>
        <w:rPr>
          <w:sz w:val="20"/>
          <w:szCs w:val="20"/>
          <w:color w:val="auto"/>
        </w:rPr>
      </w:pPr>
    </w:p>
    <w:p>
      <w:pPr>
        <w:ind w:right="320" w:firstLine="709"/>
        <w:spacing w:after="0" w:line="276" w:lineRule="auto"/>
        <w:rPr>
          <w:sz w:val="20"/>
          <w:szCs w:val="20"/>
          <w:color w:val="auto"/>
        </w:rPr>
      </w:pPr>
      <w:r>
        <w:rPr>
          <w:rFonts w:ascii="Arial" w:cs="Arial" w:eastAsia="Arial" w:hAnsi="Arial"/>
          <w:sz w:val="20"/>
          <w:szCs w:val="20"/>
          <w:color w:val="auto"/>
        </w:rPr>
        <w:t>The expected amortization of the net carrying amount of finite-lived intangible assets at December 31, 2024 was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8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Years ending December 31,</w:t>
            </w:r>
          </w:p>
        </w:tc>
        <w:tc>
          <w:tcPr>
            <w:tcW w:w="240" w:type="dxa"/>
            <w:vAlign w:val="bottom"/>
          </w:tcPr>
          <w:p>
            <w:pPr>
              <w:spacing w:after="0"/>
              <w:rPr>
                <w:sz w:val="16"/>
                <w:szCs w:val="16"/>
                <w:color w:val="auto"/>
              </w:rPr>
            </w:pPr>
          </w:p>
        </w:tc>
        <w:tc>
          <w:tcPr>
            <w:tcW w:w="1340" w:type="dxa"/>
            <w:vAlign w:val="bottom"/>
          </w:tcPr>
          <w:p>
            <w:pPr>
              <w:jc w:val="right"/>
              <w:ind w:right="386"/>
              <w:spacing w:after="0"/>
              <w:rPr>
                <w:sz w:val="20"/>
                <w:szCs w:val="20"/>
                <w:color w:val="auto"/>
              </w:rPr>
            </w:pPr>
            <w:r>
              <w:rPr>
                <w:rFonts w:ascii="Arial" w:cs="Arial" w:eastAsia="Arial" w:hAnsi="Arial"/>
                <w:sz w:val="16"/>
                <w:szCs w:val="16"/>
                <w:b w:val="1"/>
                <w:bCs w:val="1"/>
                <w:color w:val="auto"/>
              </w:rPr>
              <w:t>Expected</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8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46"/>
              <w:spacing w:after="0" w:line="171" w:lineRule="exact"/>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0"/>
        </w:trPr>
        <w:tc>
          <w:tcPr>
            <w:tcW w:w="60" w:type="dxa"/>
            <w:vAlign w:val="bottom"/>
            <w:tcBorders>
              <w:bottom w:val="single" w:sz="8" w:color="E6E6E6"/>
            </w:tcBorders>
          </w:tcPr>
          <w:p>
            <w:pPr>
              <w:spacing w:after="0" w:line="20" w:lineRule="exact"/>
              <w:rPr>
                <w:sz w:val="1"/>
                <w:szCs w:val="1"/>
                <w:color w:val="auto"/>
              </w:rPr>
            </w:pPr>
          </w:p>
        </w:tc>
        <w:tc>
          <w:tcPr>
            <w:tcW w:w="1840" w:type="dxa"/>
            <w:vAlign w:val="bottom"/>
            <w:tcBorders>
              <w:top w:val="single" w:sz="8" w:color="auto"/>
              <w:bottom w:val="single" w:sz="8" w:color="E6E6E6"/>
            </w:tcBorders>
          </w:tcPr>
          <w:p>
            <w:pPr>
              <w:spacing w:after="0" w:line="20" w:lineRule="exact"/>
              <w:rPr>
                <w:sz w:val="1"/>
                <w:szCs w:val="1"/>
                <w:color w:val="auto"/>
              </w:rPr>
            </w:pPr>
          </w:p>
        </w:tc>
        <w:tc>
          <w:tcPr>
            <w:tcW w:w="6620" w:type="dxa"/>
            <w:vAlign w:val="bottom"/>
            <w:tcBorders>
              <w:bottom w:val="single" w:sz="8" w:color="E6E6E6"/>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190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2025</w:t>
            </w:r>
          </w:p>
        </w:tc>
        <w:tc>
          <w:tcPr>
            <w:tcW w:w="6620" w:type="dxa"/>
            <w:vAlign w:val="bottom"/>
            <w:shd w:val="clear" w:color="auto" w:fill="E6E6E6"/>
          </w:tcPr>
          <w:p>
            <w:pPr>
              <w:spacing w:after="0"/>
              <w:rPr>
                <w:sz w:val="23"/>
                <w:szCs w:val="23"/>
                <w:color w:val="auto"/>
              </w:rPr>
            </w:pPr>
          </w:p>
        </w:tc>
        <w:tc>
          <w:tcPr>
            <w:tcW w:w="24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53,335</w:t>
            </w:r>
          </w:p>
        </w:tc>
        <w:tc>
          <w:tcPr>
            <w:tcW w:w="0" w:type="dxa"/>
            <w:vAlign w:val="bottom"/>
          </w:tcPr>
          <w:p>
            <w:pPr>
              <w:spacing w:after="0"/>
              <w:rPr>
                <w:sz w:val="1"/>
                <w:szCs w:val="1"/>
                <w:color w:val="auto"/>
              </w:rPr>
            </w:pPr>
          </w:p>
        </w:tc>
      </w:tr>
      <w:tr>
        <w:trPr>
          <w:trHeight w:val="275"/>
        </w:trPr>
        <w:tc>
          <w:tcPr>
            <w:tcW w:w="1900" w:type="dxa"/>
            <w:vAlign w:val="bottom"/>
            <w:gridSpan w:val="2"/>
          </w:tcPr>
          <w:p>
            <w:pPr>
              <w:ind w:left="60"/>
              <w:spacing w:after="0"/>
              <w:rPr>
                <w:sz w:val="20"/>
                <w:szCs w:val="20"/>
                <w:color w:val="auto"/>
              </w:rPr>
            </w:pPr>
            <w:r>
              <w:rPr>
                <w:rFonts w:ascii="Arial" w:cs="Arial" w:eastAsia="Arial" w:hAnsi="Arial"/>
                <w:sz w:val="20"/>
                <w:szCs w:val="20"/>
                <w:color w:val="auto"/>
              </w:rPr>
              <w:t>2026</w:t>
            </w:r>
          </w:p>
        </w:tc>
        <w:tc>
          <w:tcPr>
            <w:tcW w:w="6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51,297</w:t>
            </w:r>
          </w:p>
        </w:tc>
        <w:tc>
          <w:tcPr>
            <w:tcW w:w="0" w:type="dxa"/>
            <w:vAlign w:val="bottom"/>
          </w:tcPr>
          <w:p>
            <w:pPr>
              <w:spacing w:after="0"/>
              <w:rPr>
                <w:sz w:val="1"/>
                <w:szCs w:val="1"/>
                <w:color w:val="auto"/>
              </w:rPr>
            </w:pPr>
          </w:p>
        </w:tc>
      </w:tr>
      <w:tr>
        <w:trPr>
          <w:trHeight w:val="287"/>
        </w:trPr>
        <w:tc>
          <w:tcPr>
            <w:tcW w:w="190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2027</w:t>
            </w:r>
          </w:p>
        </w:tc>
        <w:tc>
          <w:tcPr>
            <w:tcW w:w="66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49,221</w:t>
            </w:r>
          </w:p>
        </w:tc>
        <w:tc>
          <w:tcPr>
            <w:tcW w:w="0" w:type="dxa"/>
            <w:vAlign w:val="bottom"/>
          </w:tcPr>
          <w:p>
            <w:pPr>
              <w:spacing w:after="0"/>
              <w:rPr>
                <w:sz w:val="1"/>
                <w:szCs w:val="1"/>
                <w:color w:val="auto"/>
              </w:rPr>
            </w:pPr>
          </w:p>
        </w:tc>
      </w:tr>
      <w:tr>
        <w:trPr>
          <w:trHeight w:val="275"/>
        </w:trPr>
        <w:tc>
          <w:tcPr>
            <w:tcW w:w="1900" w:type="dxa"/>
            <w:vAlign w:val="bottom"/>
            <w:gridSpan w:val="2"/>
          </w:tcPr>
          <w:p>
            <w:pPr>
              <w:ind w:left="60"/>
              <w:spacing w:after="0"/>
              <w:rPr>
                <w:sz w:val="20"/>
                <w:szCs w:val="20"/>
                <w:color w:val="auto"/>
              </w:rPr>
            </w:pPr>
            <w:r>
              <w:rPr>
                <w:rFonts w:ascii="Arial" w:cs="Arial" w:eastAsia="Arial" w:hAnsi="Arial"/>
                <w:sz w:val="20"/>
                <w:szCs w:val="20"/>
                <w:color w:val="auto"/>
              </w:rPr>
              <w:t>2028</w:t>
            </w:r>
          </w:p>
        </w:tc>
        <w:tc>
          <w:tcPr>
            <w:tcW w:w="6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47,916</w:t>
            </w:r>
          </w:p>
        </w:tc>
        <w:tc>
          <w:tcPr>
            <w:tcW w:w="0" w:type="dxa"/>
            <w:vAlign w:val="bottom"/>
          </w:tcPr>
          <w:p>
            <w:pPr>
              <w:spacing w:after="0"/>
              <w:rPr>
                <w:sz w:val="1"/>
                <w:szCs w:val="1"/>
                <w:color w:val="auto"/>
              </w:rPr>
            </w:pPr>
          </w:p>
        </w:tc>
      </w:tr>
      <w:tr>
        <w:trPr>
          <w:trHeight w:val="287"/>
        </w:trPr>
        <w:tc>
          <w:tcPr>
            <w:tcW w:w="190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2029</w:t>
            </w:r>
          </w:p>
        </w:tc>
        <w:tc>
          <w:tcPr>
            <w:tcW w:w="66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46,763</w:t>
            </w:r>
          </w:p>
        </w:tc>
        <w:tc>
          <w:tcPr>
            <w:tcW w:w="0" w:type="dxa"/>
            <w:vAlign w:val="bottom"/>
          </w:tcPr>
          <w:p>
            <w:pPr>
              <w:spacing w:after="0"/>
              <w:rPr>
                <w:sz w:val="1"/>
                <w:szCs w:val="1"/>
                <w:color w:val="auto"/>
              </w:rPr>
            </w:pPr>
          </w:p>
        </w:tc>
      </w:tr>
      <w:tr>
        <w:trPr>
          <w:trHeight w:val="271"/>
        </w:trPr>
        <w:tc>
          <w:tcPr>
            <w:tcW w:w="60" w:type="dxa"/>
            <w:vAlign w:val="bottom"/>
            <w:tcBorders>
              <w:bottom w:val="single" w:sz="8" w:color="E6E6E6"/>
            </w:tcBorders>
          </w:tcPr>
          <w:p>
            <w:pPr>
              <w:spacing w:after="0"/>
              <w:rPr>
                <w:sz w:val="23"/>
                <w:szCs w:val="23"/>
                <w:color w:val="auto"/>
              </w:rPr>
            </w:pPr>
          </w:p>
        </w:tc>
        <w:tc>
          <w:tcPr>
            <w:tcW w:w="8460" w:type="dxa"/>
            <w:vAlign w:val="bottom"/>
            <w:tcBorders>
              <w:bottom w:val="single" w:sz="8" w:color="E6E6E6"/>
            </w:tcBorders>
            <w:gridSpan w:val="2"/>
          </w:tcPr>
          <w:p>
            <w:pPr>
              <w:spacing w:after="0"/>
              <w:rPr>
                <w:sz w:val="20"/>
                <w:szCs w:val="20"/>
                <w:color w:val="auto"/>
              </w:rPr>
            </w:pPr>
            <w:r>
              <w:rPr>
                <w:rFonts w:ascii="Arial" w:cs="Arial" w:eastAsia="Arial" w:hAnsi="Arial"/>
                <w:sz w:val="20"/>
                <w:szCs w:val="20"/>
                <w:color w:val="auto"/>
              </w:rPr>
              <w:t>Thereafter</w:t>
            </w: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333,945</w:t>
            </w:r>
          </w:p>
        </w:tc>
        <w:tc>
          <w:tcPr>
            <w:tcW w:w="0" w:type="dxa"/>
            <w:vAlign w:val="bottom"/>
          </w:tcPr>
          <w:p>
            <w:pPr>
              <w:spacing w:after="0"/>
              <w:rPr>
                <w:sz w:val="1"/>
                <w:szCs w:val="1"/>
                <w:color w:val="auto"/>
              </w:rPr>
            </w:pPr>
          </w:p>
        </w:tc>
      </w:tr>
      <w:tr>
        <w:trPr>
          <w:trHeight w:val="280"/>
        </w:trPr>
        <w:tc>
          <w:tcPr>
            <w:tcW w:w="60" w:type="dxa"/>
            <w:vAlign w:val="bottom"/>
            <w:tcBorders>
              <w:bottom w:val="single" w:sz="8" w:color="E6E6E6"/>
            </w:tcBorders>
            <w:shd w:val="clear" w:color="auto" w:fill="E6E6E6"/>
          </w:tcPr>
          <w:p>
            <w:pPr>
              <w:spacing w:after="0"/>
              <w:rPr>
                <w:sz w:val="24"/>
                <w:szCs w:val="24"/>
                <w:color w:val="auto"/>
              </w:rPr>
            </w:pPr>
          </w:p>
        </w:tc>
        <w:tc>
          <w:tcPr>
            <w:tcW w:w="1840" w:type="dxa"/>
            <w:vAlign w:val="bottom"/>
            <w:tcBorders>
              <w:bottom w:val="single" w:sz="8" w:color="E6E6E6"/>
            </w:tcBorders>
            <w:shd w:val="clear" w:color="auto" w:fill="E6E6E6"/>
          </w:tcPr>
          <w:p>
            <w:pPr>
              <w:spacing w:after="0"/>
              <w:rPr>
                <w:sz w:val="24"/>
                <w:szCs w:val="24"/>
                <w:color w:val="auto"/>
              </w:rPr>
            </w:pPr>
          </w:p>
        </w:tc>
        <w:tc>
          <w:tcPr>
            <w:tcW w:w="662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582,477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5398770</wp:posOffset>
            </wp:positionH>
            <wp:positionV relativeFrom="paragraph">
              <wp:posOffset>-40640</wp:posOffset>
            </wp:positionV>
            <wp:extent cx="1023620" cy="45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3620" cy="4508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ACCRUED EXPENSES AND OTHER CURRENT LIABILITIES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Accrued expenses and other current liabilities consisted of the following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w w:val="88"/>
              </w:rPr>
              <w:t>December 31, 2024</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w w:val="90"/>
              </w:rPr>
              <w:t>December 31, 2023</w:t>
            </w:r>
          </w:p>
        </w:tc>
      </w:tr>
      <w:tr>
        <w:trPr>
          <w:trHeight w:val="271"/>
        </w:trPr>
        <w:tc>
          <w:tcPr>
            <w:tcW w:w="6560" w:type="dxa"/>
            <w:vAlign w:val="bottom"/>
            <w:shd w:val="clear" w:color="auto" w:fill="E6E6E6"/>
          </w:tcPr>
          <w:p>
            <w:pPr>
              <w:ind w:left="60"/>
              <w:spacing w:after="0"/>
              <w:rPr>
                <w:sz w:val="20"/>
                <w:szCs w:val="20"/>
                <w:color w:val="auto"/>
              </w:rPr>
            </w:pPr>
            <w:r>
              <w:rPr>
                <w:rFonts w:ascii="Arial" w:cs="Arial" w:eastAsia="Arial" w:hAnsi="Arial"/>
                <w:sz w:val="20"/>
                <w:szCs w:val="20"/>
                <w:color w:val="auto"/>
              </w:rPr>
              <w:t>Accrued compensation and benefits</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134,458</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113,236</w:t>
            </w:r>
          </w:p>
        </w:tc>
      </w:tr>
      <w:tr>
        <w:trPr>
          <w:trHeight w:val="275"/>
        </w:trPr>
        <w:tc>
          <w:tcPr>
            <w:tcW w:w="6560" w:type="dxa"/>
            <w:vAlign w:val="bottom"/>
          </w:tcPr>
          <w:p>
            <w:pPr>
              <w:ind w:left="60"/>
              <w:spacing w:after="0"/>
              <w:rPr>
                <w:sz w:val="20"/>
                <w:szCs w:val="20"/>
                <w:color w:val="auto"/>
              </w:rPr>
            </w:pPr>
            <w:r>
              <w:rPr>
                <w:rFonts w:ascii="Arial" w:cs="Arial" w:eastAsia="Arial" w:hAnsi="Arial"/>
                <w:sz w:val="20"/>
                <w:szCs w:val="20"/>
                <w:color w:val="auto"/>
              </w:rPr>
              <w:t>Accrued insurance</w:t>
            </w: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112,367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107,658</w:t>
            </w:r>
          </w:p>
        </w:tc>
      </w:tr>
      <w:tr>
        <w:trPr>
          <w:trHeight w:val="287"/>
        </w:trPr>
        <w:tc>
          <w:tcPr>
            <w:tcW w:w="6560" w:type="dxa"/>
            <w:vAlign w:val="bottom"/>
            <w:shd w:val="clear" w:color="auto" w:fill="E6E6E6"/>
          </w:tcPr>
          <w:p>
            <w:pPr>
              <w:ind w:left="60"/>
              <w:spacing w:after="0"/>
              <w:rPr>
                <w:sz w:val="20"/>
                <w:szCs w:val="20"/>
                <w:color w:val="auto"/>
              </w:rPr>
            </w:pPr>
            <w:r>
              <w:rPr>
                <w:rFonts w:ascii="Arial" w:cs="Arial" w:eastAsia="Arial" w:hAnsi="Arial"/>
                <w:sz w:val="20"/>
                <w:szCs w:val="20"/>
                <w:color w:val="auto"/>
              </w:rPr>
              <w:t>Accrued interest</w:t>
            </w:r>
          </w:p>
        </w:tc>
        <w:tc>
          <w:tcPr>
            <w:tcW w:w="200" w:type="dxa"/>
            <w:vAlign w:val="bottom"/>
            <w:shd w:val="clear" w:color="auto" w:fill="E6E6E6"/>
          </w:tcPr>
          <w:p>
            <w:pPr>
              <w:spacing w:after="0"/>
              <w:rPr>
                <w:sz w:val="24"/>
                <w:szCs w:val="24"/>
                <w:color w:val="auto"/>
              </w:rPr>
            </w:pPr>
          </w:p>
        </w:tc>
        <w:tc>
          <w:tcPr>
            <w:tcW w:w="1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33,259</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33,857</w:t>
            </w:r>
          </w:p>
        </w:tc>
      </w:tr>
      <w:tr>
        <w:trPr>
          <w:trHeight w:val="275"/>
        </w:trPr>
        <w:tc>
          <w:tcPr>
            <w:tcW w:w="6560" w:type="dxa"/>
            <w:vAlign w:val="bottom"/>
          </w:tcPr>
          <w:p>
            <w:pPr>
              <w:ind w:left="60"/>
              <w:spacing w:after="0"/>
              <w:rPr>
                <w:sz w:val="20"/>
                <w:szCs w:val="20"/>
                <w:color w:val="auto"/>
              </w:rPr>
            </w:pPr>
            <w:r>
              <w:rPr>
                <w:rFonts w:ascii="Arial" w:cs="Arial" w:eastAsia="Arial" w:hAnsi="Arial"/>
                <w:sz w:val="20"/>
                <w:szCs w:val="20"/>
                <w:color w:val="auto"/>
              </w:rPr>
              <w:t>Accrued income, real estate, sales and other taxes</w:t>
            </w: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35,394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44,752</w:t>
            </w:r>
          </w:p>
        </w:tc>
      </w:tr>
      <w:tr>
        <w:trPr>
          <w:trHeight w:val="277"/>
        </w:trPr>
        <w:tc>
          <w:tcPr>
            <w:tcW w:w="65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Accrued other</w:t>
            </w:r>
          </w:p>
        </w:tc>
        <w:tc>
          <w:tcPr>
            <w:tcW w:w="200" w:type="dxa"/>
            <w:vAlign w:val="bottom"/>
            <w:tcBorders>
              <w:bottom w:val="single" w:sz="8" w:color="auto"/>
            </w:tcBorders>
            <w:shd w:val="clear" w:color="auto" w:fill="E6E6E6"/>
          </w:tcPr>
          <w:p>
            <w:pPr>
              <w:spacing w:after="0"/>
              <w:rPr>
                <w:sz w:val="24"/>
                <w:szCs w:val="24"/>
                <w:color w:val="auto"/>
              </w:rPr>
            </w:pPr>
          </w:p>
        </w:tc>
        <w:tc>
          <w:tcPr>
            <w:tcW w:w="1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103,967</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97,654</w:t>
            </w:r>
          </w:p>
        </w:tc>
      </w:tr>
      <w:tr>
        <w:trPr>
          <w:trHeight w:val="241"/>
        </w:trPr>
        <w:tc>
          <w:tcPr>
            <w:tcW w:w="6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419,445</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397,157</w:t>
            </w: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-40640</wp:posOffset>
            </wp:positionV>
            <wp:extent cx="2262505" cy="45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62505" cy="45085"/>
                    </a:xfrm>
                    <a:prstGeom prst="rect">
                      <a:avLst/>
                    </a:prstGeom>
                    <a:noFill/>
                  </pic:spPr>
                </pic:pic>
              </a:graphicData>
            </a:graphic>
          </wp:anchor>
        </w:drawing>
      </w:r>
    </w:p>
    <w:p>
      <w:pPr>
        <w:spacing w:after="0" w:line="145" w:lineRule="exact"/>
        <w:rPr>
          <w:sz w:val="20"/>
          <w:szCs w:val="20"/>
          <w:color w:val="auto"/>
        </w:rPr>
      </w:pPr>
    </w:p>
    <w:p>
      <w:pPr>
        <w:ind w:right="140" w:firstLine="709"/>
        <w:spacing w:after="0" w:line="293" w:lineRule="auto"/>
        <w:rPr>
          <w:sz w:val="20"/>
          <w:szCs w:val="20"/>
          <w:color w:val="auto"/>
        </w:rPr>
      </w:pPr>
      <w:r>
        <w:rPr>
          <w:rFonts w:ascii="Arial" w:cs="Arial" w:eastAsia="Arial" w:hAnsi="Arial"/>
          <w:sz w:val="18"/>
          <w:szCs w:val="18"/>
          <w:color w:val="auto"/>
        </w:rPr>
        <w:t>The increase in accrued compensation and benefits is due to both the timing of payments and an increase in accrued incentive compensation. As of December 31, 2024 and 2023, accrued insurance included employee medical insurance costs of $23.9 million and $22.8 million, respectively, and accruals for losses under workers' compensation, comprehensive general liability and vehicle liability self-insurance programs of $83.7 million and $82.7 million, respectively.</w:t>
      </w:r>
    </w:p>
    <w:p>
      <w:pPr>
        <w:sectPr>
          <w:pgSz w:w="11880" w:h="15480" w:orient="portrait"/>
          <w:cols w:equalWidth="0" w:num="1">
            <w:col w:w="10100"/>
          </w:cols>
          <w:pgMar w:left="880" w:top="3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880" w:h="15480" w:orient="portrait"/>
          <w:cols w:equalWidth="0" w:num="1">
            <w:col w:w="10100"/>
          </w:cols>
          <w:pgMar w:left="880" w:top="338" w:right="900" w:bottom="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CLOSURE AND POST-CLOSURE LIABILITIES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changes to closure and post-closure liabilities (also referred to as "asset retirement obligations") from January 1,</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2023 through December 31, 2024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24"/>
              <w:spacing w:after="0"/>
              <w:rPr>
                <w:sz w:val="20"/>
                <w:szCs w:val="20"/>
                <w:color w:val="auto"/>
              </w:rPr>
            </w:pPr>
            <w:r>
              <w:rPr>
                <w:rFonts w:ascii="Arial" w:cs="Arial" w:eastAsia="Arial" w:hAnsi="Arial"/>
                <w:sz w:val="16"/>
                <w:szCs w:val="16"/>
                <w:b w:val="1"/>
                <w:bCs w:val="1"/>
                <w:color w:val="auto"/>
                <w:w w:val="94"/>
              </w:rPr>
              <w:t>Landfill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84"/>
              <w:spacing w:after="0"/>
              <w:rPr>
                <w:sz w:val="20"/>
                <w:szCs w:val="20"/>
                <w:color w:val="auto"/>
              </w:rPr>
            </w:pPr>
            <w:r>
              <w:rPr>
                <w:rFonts w:ascii="Arial" w:cs="Arial" w:eastAsia="Arial" w:hAnsi="Arial"/>
                <w:sz w:val="16"/>
                <w:szCs w:val="16"/>
                <w:b w:val="1"/>
                <w:bCs w:val="1"/>
                <w:color w:val="auto"/>
                <w:w w:val="92"/>
              </w:rPr>
              <w:t>Non-Landfill</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04"/>
              <w:spacing w:after="0" w:line="158" w:lineRule="exact"/>
              <w:rPr>
                <w:sz w:val="20"/>
                <w:szCs w:val="20"/>
                <w:color w:val="auto"/>
              </w:rPr>
            </w:pPr>
            <w:r>
              <w:rPr>
                <w:rFonts w:ascii="Arial" w:cs="Arial" w:eastAsia="Arial" w:hAnsi="Arial"/>
                <w:sz w:val="16"/>
                <w:szCs w:val="16"/>
                <w:b w:val="1"/>
                <w:bCs w:val="1"/>
                <w:color w:val="auto"/>
                <w:w w:val="90"/>
              </w:rPr>
              <w:t>Retirement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64"/>
              <w:spacing w:after="0" w:line="158" w:lineRule="exact"/>
              <w:rPr>
                <w:sz w:val="20"/>
                <w:szCs w:val="20"/>
                <w:color w:val="auto"/>
              </w:rPr>
            </w:pPr>
            <w:r>
              <w:rPr>
                <w:rFonts w:ascii="Arial" w:cs="Arial" w:eastAsia="Arial" w:hAnsi="Arial"/>
                <w:sz w:val="16"/>
                <w:szCs w:val="16"/>
                <w:b w:val="1"/>
                <w:bCs w:val="1"/>
                <w:color w:val="auto"/>
                <w:w w:val="90"/>
              </w:rPr>
              <w:t>Retirement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36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610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24"/>
              <w:spacing w:after="0"/>
              <w:rPr>
                <w:sz w:val="20"/>
                <w:szCs w:val="20"/>
                <w:color w:val="auto"/>
              </w:rPr>
            </w:pPr>
            <w:r>
              <w:rPr>
                <w:rFonts w:ascii="Arial" w:cs="Arial" w:eastAsia="Arial" w:hAnsi="Arial"/>
                <w:sz w:val="16"/>
                <w:szCs w:val="16"/>
                <w:b w:val="1"/>
                <w:bCs w:val="1"/>
                <w:color w:val="auto"/>
                <w:w w:val="95"/>
              </w:rPr>
              <w:t>Liability</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6"/>
                <w:szCs w:val="16"/>
                <w:b w:val="1"/>
                <w:bCs w:val="1"/>
                <w:color w:val="auto"/>
                <w:w w:val="95"/>
              </w:rPr>
              <w:t>Liability</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100" w:type="dxa"/>
            <w:vAlign w:val="bottom"/>
            <w:shd w:val="clear" w:color="auto" w:fill="E6E6E6"/>
          </w:tcPr>
          <w:p>
            <w:pPr>
              <w:ind w:left="60"/>
              <w:spacing w:after="0"/>
              <w:rPr>
                <w:sz w:val="20"/>
                <w:szCs w:val="20"/>
                <w:color w:val="auto"/>
              </w:rPr>
            </w:pPr>
            <w:r>
              <w:rPr>
                <w:rFonts w:ascii="Arial" w:cs="Arial" w:eastAsia="Arial" w:hAnsi="Arial"/>
                <w:sz w:val="20"/>
                <w:szCs w:val="20"/>
                <w:color w:val="auto"/>
              </w:rPr>
              <w:t>Balance at January 1, 2023</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62,251</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56,550</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118,801</w:t>
            </w:r>
          </w:p>
        </w:tc>
        <w:tc>
          <w:tcPr>
            <w:tcW w:w="0" w:type="dxa"/>
            <w:vAlign w:val="bottom"/>
          </w:tcPr>
          <w:p>
            <w:pPr>
              <w:spacing w:after="0"/>
              <w:rPr>
                <w:sz w:val="1"/>
                <w:szCs w:val="1"/>
                <w:color w:val="auto"/>
              </w:rPr>
            </w:pPr>
          </w:p>
        </w:tc>
      </w:tr>
      <w:tr>
        <w:trPr>
          <w:trHeight w:val="275"/>
        </w:trPr>
        <w:tc>
          <w:tcPr>
            <w:tcW w:w="6100" w:type="dxa"/>
            <w:vAlign w:val="bottom"/>
          </w:tcPr>
          <w:p>
            <w:pPr>
              <w:ind w:left="60"/>
              <w:spacing w:after="0"/>
              <w:rPr>
                <w:sz w:val="20"/>
                <w:szCs w:val="20"/>
                <w:color w:val="auto"/>
              </w:rPr>
            </w:pPr>
            <w:r>
              <w:rPr>
                <w:rFonts w:ascii="Arial" w:cs="Arial" w:eastAsia="Arial" w:hAnsi="Arial"/>
                <w:sz w:val="20"/>
                <w:szCs w:val="20"/>
                <w:color w:val="auto"/>
              </w:rPr>
              <w:t>Liabilities assumed in acquisitions</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574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574</w:t>
            </w:r>
          </w:p>
        </w:tc>
        <w:tc>
          <w:tcPr>
            <w:tcW w:w="0" w:type="dxa"/>
            <w:vAlign w:val="bottom"/>
          </w:tcPr>
          <w:p>
            <w:pPr>
              <w:spacing w:after="0"/>
              <w:rPr>
                <w:sz w:val="1"/>
                <w:szCs w:val="1"/>
                <w:color w:val="auto"/>
              </w:rPr>
            </w:pPr>
          </w:p>
        </w:tc>
      </w:tr>
      <w:tr>
        <w:trPr>
          <w:trHeight w:val="287"/>
        </w:trPr>
        <w:tc>
          <w:tcPr>
            <w:tcW w:w="6100" w:type="dxa"/>
            <w:vAlign w:val="bottom"/>
            <w:shd w:val="clear" w:color="auto" w:fill="E6E6E6"/>
          </w:tcPr>
          <w:p>
            <w:pPr>
              <w:ind w:left="60"/>
              <w:spacing w:after="0"/>
              <w:rPr>
                <w:sz w:val="20"/>
                <w:szCs w:val="20"/>
                <w:color w:val="auto"/>
              </w:rPr>
            </w:pPr>
            <w:r>
              <w:rPr>
                <w:rFonts w:ascii="Arial" w:cs="Arial" w:eastAsia="Arial" w:hAnsi="Arial"/>
                <w:sz w:val="20"/>
                <w:szCs w:val="20"/>
                <w:color w:val="auto"/>
              </w:rPr>
              <w:t>Measurement period adjustments from prior period acquisitions</w:t>
            </w: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3,015</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3,015</w:t>
            </w:r>
          </w:p>
        </w:tc>
        <w:tc>
          <w:tcPr>
            <w:tcW w:w="0" w:type="dxa"/>
            <w:vAlign w:val="bottom"/>
          </w:tcPr>
          <w:p>
            <w:pPr>
              <w:spacing w:after="0"/>
              <w:rPr>
                <w:sz w:val="1"/>
                <w:szCs w:val="1"/>
                <w:color w:val="auto"/>
              </w:rPr>
            </w:pPr>
          </w:p>
        </w:tc>
      </w:tr>
      <w:tr>
        <w:trPr>
          <w:trHeight w:val="275"/>
        </w:trPr>
        <w:tc>
          <w:tcPr>
            <w:tcW w:w="6100" w:type="dxa"/>
            <w:vAlign w:val="bottom"/>
          </w:tcPr>
          <w:p>
            <w:pPr>
              <w:ind w:left="60"/>
              <w:spacing w:after="0"/>
              <w:rPr>
                <w:sz w:val="20"/>
                <w:szCs w:val="20"/>
                <w:color w:val="auto"/>
              </w:rPr>
            </w:pPr>
            <w:r>
              <w:rPr>
                <w:rFonts w:ascii="Arial" w:cs="Arial" w:eastAsia="Arial" w:hAnsi="Arial"/>
                <w:sz w:val="20"/>
                <w:szCs w:val="20"/>
                <w:color w:val="auto"/>
              </w:rPr>
              <w:t>New asset retirement obligations</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3,092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3,092</w:t>
            </w:r>
          </w:p>
        </w:tc>
        <w:tc>
          <w:tcPr>
            <w:tcW w:w="0" w:type="dxa"/>
            <w:vAlign w:val="bottom"/>
          </w:tcPr>
          <w:p>
            <w:pPr>
              <w:spacing w:after="0"/>
              <w:rPr>
                <w:sz w:val="1"/>
                <w:szCs w:val="1"/>
                <w:color w:val="auto"/>
              </w:rPr>
            </w:pPr>
          </w:p>
        </w:tc>
      </w:tr>
      <w:tr>
        <w:trPr>
          <w:trHeight w:val="287"/>
        </w:trPr>
        <w:tc>
          <w:tcPr>
            <w:tcW w:w="6100" w:type="dxa"/>
            <w:vAlign w:val="bottom"/>
            <w:shd w:val="clear" w:color="auto" w:fill="E6E6E6"/>
          </w:tcPr>
          <w:p>
            <w:pPr>
              <w:ind w:left="60"/>
              <w:spacing w:after="0"/>
              <w:rPr>
                <w:sz w:val="20"/>
                <w:szCs w:val="20"/>
                <w:color w:val="auto"/>
              </w:rPr>
            </w:pPr>
            <w:r>
              <w:rPr>
                <w:rFonts w:ascii="Arial" w:cs="Arial" w:eastAsia="Arial" w:hAnsi="Arial"/>
                <w:sz w:val="20"/>
                <w:szCs w:val="20"/>
                <w:color w:val="auto"/>
              </w:rPr>
              <w:t>Accretion</w:t>
            </w: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4,958</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4,519</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9,477</w:t>
            </w:r>
          </w:p>
        </w:tc>
        <w:tc>
          <w:tcPr>
            <w:tcW w:w="0" w:type="dxa"/>
            <w:vAlign w:val="bottom"/>
          </w:tcPr>
          <w:p>
            <w:pPr>
              <w:spacing w:after="0"/>
              <w:rPr>
                <w:sz w:val="1"/>
                <w:szCs w:val="1"/>
                <w:color w:val="auto"/>
              </w:rPr>
            </w:pPr>
          </w:p>
        </w:tc>
      </w:tr>
      <w:tr>
        <w:trPr>
          <w:trHeight w:val="290"/>
        </w:trPr>
        <w:tc>
          <w:tcPr>
            <w:tcW w:w="6100" w:type="dxa"/>
            <w:vAlign w:val="bottom"/>
          </w:tcPr>
          <w:p>
            <w:pPr>
              <w:ind w:left="60"/>
              <w:spacing w:after="0"/>
              <w:rPr>
                <w:sz w:val="20"/>
                <w:szCs w:val="20"/>
                <w:color w:val="auto"/>
              </w:rPr>
            </w:pPr>
            <w:r>
              <w:rPr>
                <w:rFonts w:ascii="Arial" w:cs="Arial" w:eastAsia="Arial" w:hAnsi="Arial"/>
                <w:sz w:val="20"/>
                <w:szCs w:val="20"/>
                <w:color w:val="auto"/>
                <w:w w:val="95"/>
              </w:rPr>
              <w:t>Changes in estimates recorded to consolidated statement of operations</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1,147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1,200</w:t>
            </w:r>
          </w:p>
        </w:tc>
        <w:tc>
          <w:tcPr>
            <w:tcW w:w="0" w:type="dxa"/>
            <w:vAlign w:val="bottom"/>
          </w:tcPr>
          <w:p>
            <w:pPr>
              <w:spacing w:after="0"/>
              <w:rPr>
                <w:sz w:val="1"/>
                <w:szCs w:val="1"/>
                <w:color w:val="auto"/>
              </w:rPr>
            </w:pPr>
          </w:p>
        </w:tc>
      </w:tr>
      <w:tr>
        <w:trPr>
          <w:trHeight w:val="287"/>
        </w:trPr>
        <w:tc>
          <w:tcPr>
            <w:tcW w:w="6100" w:type="dxa"/>
            <w:vAlign w:val="bottom"/>
            <w:shd w:val="clear" w:color="auto" w:fill="E6E6E6"/>
          </w:tcPr>
          <w:p>
            <w:pPr>
              <w:ind w:left="60"/>
              <w:spacing w:after="0"/>
              <w:rPr>
                <w:sz w:val="20"/>
                <w:szCs w:val="20"/>
                <w:color w:val="auto"/>
              </w:rPr>
            </w:pPr>
            <w:r>
              <w:rPr>
                <w:rFonts w:ascii="Arial" w:cs="Arial" w:eastAsia="Arial" w:hAnsi="Arial"/>
                <w:sz w:val="20"/>
                <w:szCs w:val="20"/>
                <w:color w:val="auto"/>
              </w:rPr>
              <w:t>Changes in estimates recorded to consolidated balance sheet</w:t>
            </w: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(3,706)</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1,600</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(2,106)</w:t>
            </w:r>
          </w:p>
        </w:tc>
        <w:tc>
          <w:tcPr>
            <w:tcW w:w="0" w:type="dxa"/>
            <w:vAlign w:val="bottom"/>
          </w:tcPr>
          <w:p>
            <w:pPr>
              <w:spacing w:after="0"/>
              <w:rPr>
                <w:sz w:val="1"/>
                <w:szCs w:val="1"/>
                <w:color w:val="auto"/>
              </w:rPr>
            </w:pPr>
          </w:p>
        </w:tc>
      </w:tr>
      <w:tr>
        <w:trPr>
          <w:trHeight w:val="275"/>
        </w:trPr>
        <w:tc>
          <w:tcPr>
            <w:tcW w:w="6100" w:type="dxa"/>
            <w:vAlign w:val="bottom"/>
          </w:tcPr>
          <w:p>
            <w:pPr>
              <w:ind w:left="60"/>
              <w:spacing w:after="0"/>
              <w:rPr>
                <w:sz w:val="20"/>
                <w:szCs w:val="20"/>
                <w:color w:val="auto"/>
              </w:rPr>
            </w:pPr>
            <w:r>
              <w:rPr>
                <w:rFonts w:ascii="Arial" w:cs="Arial" w:eastAsia="Arial" w:hAnsi="Arial"/>
                <w:sz w:val="20"/>
                <w:szCs w:val="20"/>
                <w:color w:val="auto"/>
              </w:rPr>
              <w:t>Environmental expenditures</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(8,478)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(7,206)</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(15,684)</w:t>
            </w:r>
          </w:p>
        </w:tc>
        <w:tc>
          <w:tcPr>
            <w:tcW w:w="0" w:type="dxa"/>
            <w:vAlign w:val="bottom"/>
          </w:tcPr>
          <w:p>
            <w:pPr>
              <w:spacing w:after="0"/>
              <w:rPr>
                <w:sz w:val="1"/>
                <w:szCs w:val="1"/>
                <w:color w:val="auto"/>
              </w:rPr>
            </w:pPr>
          </w:p>
        </w:tc>
      </w:tr>
      <w:tr>
        <w:trPr>
          <w:trHeight w:val="296"/>
        </w:trPr>
        <w:tc>
          <w:tcPr>
            <w:tcW w:w="61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Currency translation and other</w:t>
            </w:r>
          </w:p>
        </w:tc>
        <w:tc>
          <w:tcPr>
            <w:tcW w:w="22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179</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52</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231</w:t>
            </w:r>
          </w:p>
        </w:tc>
        <w:tc>
          <w:tcPr>
            <w:tcW w:w="0" w:type="dxa"/>
            <w:vAlign w:val="bottom"/>
          </w:tcPr>
          <w:p>
            <w:pPr>
              <w:spacing w:after="0"/>
              <w:rPr>
                <w:sz w:val="1"/>
                <w:szCs w:val="1"/>
                <w:color w:val="auto"/>
              </w:rPr>
            </w:pPr>
          </w:p>
        </w:tc>
      </w:tr>
      <w:tr>
        <w:trPr>
          <w:trHeight w:val="241"/>
        </w:trPr>
        <w:tc>
          <w:tcPr>
            <w:tcW w:w="610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Balance at December 31, 2023</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59,443</w:t>
            </w:r>
          </w:p>
        </w:tc>
        <w:tc>
          <w:tcPr>
            <w:tcW w:w="6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59,157</w:t>
            </w:r>
          </w:p>
        </w:tc>
        <w:tc>
          <w:tcPr>
            <w:tcW w:w="6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118,600</w:t>
            </w:r>
          </w:p>
        </w:tc>
        <w:tc>
          <w:tcPr>
            <w:tcW w:w="0" w:type="dxa"/>
            <w:vAlign w:val="bottom"/>
          </w:tcPr>
          <w:p>
            <w:pPr>
              <w:spacing w:after="0"/>
              <w:rPr>
                <w:sz w:val="1"/>
                <w:szCs w:val="1"/>
                <w:color w:val="auto"/>
              </w:rPr>
            </w:pPr>
          </w:p>
        </w:tc>
      </w:tr>
      <w:tr>
        <w:trPr>
          <w:trHeight w:val="271"/>
        </w:trPr>
        <w:tc>
          <w:tcPr>
            <w:tcW w:w="6100" w:type="dxa"/>
            <w:vAlign w:val="bottom"/>
            <w:shd w:val="clear" w:color="auto" w:fill="E6E6E6"/>
          </w:tcPr>
          <w:p>
            <w:pPr>
              <w:ind w:left="60"/>
              <w:spacing w:after="0"/>
              <w:rPr>
                <w:sz w:val="20"/>
                <w:szCs w:val="20"/>
                <w:color w:val="auto"/>
              </w:rPr>
            </w:pPr>
            <w:r>
              <w:rPr>
                <w:rFonts w:ascii="Arial" w:cs="Arial" w:eastAsia="Arial" w:hAnsi="Arial"/>
                <w:sz w:val="20"/>
                <w:szCs w:val="20"/>
                <w:color w:val="auto"/>
              </w:rPr>
              <w:t>Liabilities assumed in acquisitions</w:t>
            </w:r>
          </w:p>
        </w:tc>
        <w:tc>
          <w:tcPr>
            <w:tcW w:w="220" w:type="dxa"/>
            <w:vAlign w:val="bottom"/>
            <w:shd w:val="clear" w:color="auto" w:fill="E6E6E6"/>
          </w:tcPr>
          <w:p>
            <w:pPr>
              <w:spacing w:after="0"/>
              <w:rPr>
                <w:sz w:val="23"/>
                <w:szCs w:val="23"/>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11,421</w:t>
            </w:r>
          </w:p>
        </w:tc>
        <w:tc>
          <w:tcPr>
            <w:tcW w:w="6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11,421</w:t>
            </w:r>
          </w:p>
        </w:tc>
        <w:tc>
          <w:tcPr>
            <w:tcW w:w="0" w:type="dxa"/>
            <w:vAlign w:val="bottom"/>
          </w:tcPr>
          <w:p>
            <w:pPr>
              <w:spacing w:after="0"/>
              <w:rPr>
                <w:sz w:val="1"/>
                <w:szCs w:val="1"/>
                <w:color w:val="auto"/>
              </w:rPr>
            </w:pPr>
          </w:p>
        </w:tc>
      </w:tr>
      <w:tr>
        <w:trPr>
          <w:trHeight w:val="275"/>
        </w:trPr>
        <w:tc>
          <w:tcPr>
            <w:tcW w:w="6100" w:type="dxa"/>
            <w:vAlign w:val="bottom"/>
          </w:tcPr>
          <w:p>
            <w:pPr>
              <w:ind w:left="60"/>
              <w:spacing w:after="0"/>
              <w:rPr>
                <w:sz w:val="20"/>
                <w:szCs w:val="20"/>
                <w:color w:val="auto"/>
              </w:rPr>
            </w:pPr>
            <w:r>
              <w:rPr>
                <w:rFonts w:ascii="Arial" w:cs="Arial" w:eastAsia="Arial" w:hAnsi="Arial"/>
                <w:sz w:val="20"/>
                <w:szCs w:val="20"/>
                <w:color w:val="auto"/>
              </w:rPr>
              <w:t>New asset retirement obligations</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2,118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2,118</w:t>
            </w:r>
          </w:p>
        </w:tc>
        <w:tc>
          <w:tcPr>
            <w:tcW w:w="0" w:type="dxa"/>
            <w:vAlign w:val="bottom"/>
          </w:tcPr>
          <w:p>
            <w:pPr>
              <w:spacing w:after="0"/>
              <w:rPr>
                <w:sz w:val="1"/>
                <w:szCs w:val="1"/>
                <w:color w:val="auto"/>
              </w:rPr>
            </w:pPr>
          </w:p>
        </w:tc>
      </w:tr>
      <w:tr>
        <w:trPr>
          <w:trHeight w:val="287"/>
        </w:trPr>
        <w:tc>
          <w:tcPr>
            <w:tcW w:w="6100" w:type="dxa"/>
            <w:vAlign w:val="bottom"/>
            <w:shd w:val="clear" w:color="auto" w:fill="E6E6E6"/>
          </w:tcPr>
          <w:p>
            <w:pPr>
              <w:ind w:left="60"/>
              <w:spacing w:after="0"/>
              <w:rPr>
                <w:sz w:val="20"/>
                <w:szCs w:val="20"/>
                <w:color w:val="auto"/>
              </w:rPr>
            </w:pPr>
            <w:r>
              <w:rPr>
                <w:rFonts w:ascii="Arial" w:cs="Arial" w:eastAsia="Arial" w:hAnsi="Arial"/>
                <w:sz w:val="20"/>
                <w:szCs w:val="20"/>
                <w:color w:val="auto"/>
              </w:rPr>
              <w:t>Accretion</w:t>
            </w: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5,069</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4,489</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9,558</w:t>
            </w:r>
          </w:p>
        </w:tc>
        <w:tc>
          <w:tcPr>
            <w:tcW w:w="0" w:type="dxa"/>
            <w:vAlign w:val="bottom"/>
          </w:tcPr>
          <w:p>
            <w:pPr>
              <w:spacing w:after="0"/>
              <w:rPr>
                <w:sz w:val="1"/>
                <w:szCs w:val="1"/>
                <w:color w:val="auto"/>
              </w:rPr>
            </w:pPr>
          </w:p>
        </w:tc>
      </w:tr>
      <w:tr>
        <w:trPr>
          <w:trHeight w:val="275"/>
        </w:trPr>
        <w:tc>
          <w:tcPr>
            <w:tcW w:w="6100" w:type="dxa"/>
            <w:vAlign w:val="bottom"/>
          </w:tcPr>
          <w:p>
            <w:pPr>
              <w:ind w:left="60"/>
              <w:spacing w:after="0"/>
              <w:rPr>
                <w:sz w:val="20"/>
                <w:szCs w:val="20"/>
                <w:color w:val="auto"/>
              </w:rPr>
            </w:pPr>
            <w:r>
              <w:rPr>
                <w:rFonts w:ascii="Arial" w:cs="Arial" w:eastAsia="Arial" w:hAnsi="Arial"/>
                <w:sz w:val="20"/>
                <w:szCs w:val="20"/>
                <w:color w:val="auto"/>
                <w:w w:val="95"/>
              </w:rPr>
              <w:t>Changes in estimates recorded to consolidated statement of operations</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87"/>
        </w:trPr>
        <w:tc>
          <w:tcPr>
            <w:tcW w:w="6100" w:type="dxa"/>
            <w:vAlign w:val="bottom"/>
            <w:shd w:val="clear" w:color="auto" w:fill="E6E6E6"/>
          </w:tcPr>
          <w:p>
            <w:pPr>
              <w:ind w:left="60"/>
              <w:spacing w:after="0"/>
              <w:rPr>
                <w:sz w:val="20"/>
                <w:szCs w:val="20"/>
                <w:color w:val="auto"/>
              </w:rPr>
            </w:pPr>
            <w:r>
              <w:rPr>
                <w:rFonts w:ascii="Arial" w:cs="Arial" w:eastAsia="Arial" w:hAnsi="Arial"/>
                <w:sz w:val="20"/>
                <w:szCs w:val="20"/>
                <w:color w:val="auto"/>
              </w:rPr>
              <w:t>Changes in estimates recorded to consolidated balance sheet</w:t>
            </w: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4,335</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402</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4,737</w:t>
            </w:r>
          </w:p>
        </w:tc>
        <w:tc>
          <w:tcPr>
            <w:tcW w:w="0" w:type="dxa"/>
            <w:vAlign w:val="bottom"/>
          </w:tcPr>
          <w:p>
            <w:pPr>
              <w:spacing w:after="0"/>
              <w:rPr>
                <w:sz w:val="1"/>
                <w:szCs w:val="1"/>
                <w:color w:val="auto"/>
              </w:rPr>
            </w:pPr>
          </w:p>
        </w:tc>
      </w:tr>
      <w:tr>
        <w:trPr>
          <w:trHeight w:val="275"/>
        </w:trPr>
        <w:tc>
          <w:tcPr>
            <w:tcW w:w="6100" w:type="dxa"/>
            <w:vAlign w:val="bottom"/>
          </w:tcPr>
          <w:p>
            <w:pPr>
              <w:ind w:left="60"/>
              <w:spacing w:after="0"/>
              <w:rPr>
                <w:sz w:val="20"/>
                <w:szCs w:val="20"/>
                <w:color w:val="auto"/>
              </w:rPr>
            </w:pPr>
            <w:r>
              <w:rPr>
                <w:rFonts w:ascii="Arial" w:cs="Arial" w:eastAsia="Arial" w:hAnsi="Arial"/>
                <w:sz w:val="20"/>
                <w:szCs w:val="20"/>
                <w:color w:val="auto"/>
              </w:rPr>
              <w:t>Environmental expenditures</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(11,210)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(4,466)</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(15,676)</w:t>
            </w:r>
          </w:p>
        </w:tc>
        <w:tc>
          <w:tcPr>
            <w:tcW w:w="0" w:type="dxa"/>
            <w:vAlign w:val="bottom"/>
          </w:tcPr>
          <w:p>
            <w:pPr>
              <w:spacing w:after="0"/>
              <w:rPr>
                <w:sz w:val="1"/>
                <w:szCs w:val="1"/>
                <w:color w:val="auto"/>
              </w:rPr>
            </w:pPr>
          </w:p>
        </w:tc>
      </w:tr>
      <w:tr>
        <w:trPr>
          <w:trHeight w:val="296"/>
        </w:trPr>
        <w:tc>
          <w:tcPr>
            <w:tcW w:w="61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Currency translation and other</w:t>
            </w:r>
          </w:p>
        </w:tc>
        <w:tc>
          <w:tcPr>
            <w:tcW w:w="22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(425)</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(320)</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(745)</w:t>
            </w:r>
          </w:p>
        </w:tc>
        <w:tc>
          <w:tcPr>
            <w:tcW w:w="0" w:type="dxa"/>
            <w:vAlign w:val="bottom"/>
          </w:tcPr>
          <w:p>
            <w:pPr>
              <w:spacing w:after="0"/>
              <w:rPr>
                <w:sz w:val="1"/>
                <w:szCs w:val="1"/>
                <w:color w:val="auto"/>
              </w:rPr>
            </w:pPr>
          </w:p>
        </w:tc>
      </w:tr>
      <w:tr>
        <w:trPr>
          <w:trHeight w:val="222"/>
        </w:trPr>
        <w:tc>
          <w:tcPr>
            <w:tcW w:w="6100" w:type="dxa"/>
            <w:vAlign w:val="bottom"/>
          </w:tcPr>
          <w:p>
            <w:pPr>
              <w:ind w:left="60"/>
              <w:spacing w:after="0" w:line="222" w:lineRule="exact"/>
              <w:rPr>
                <w:sz w:val="20"/>
                <w:szCs w:val="20"/>
                <w:color w:val="auto"/>
              </w:rPr>
            </w:pPr>
            <w:r>
              <w:rPr>
                <w:rFonts w:ascii="Arial" w:cs="Arial" w:eastAsia="Arial" w:hAnsi="Arial"/>
                <w:sz w:val="20"/>
                <w:szCs w:val="20"/>
                <w:color w:val="auto"/>
              </w:rPr>
              <w:t>Balance at December 31, 2024</w:t>
            </w:r>
          </w:p>
        </w:tc>
        <w:tc>
          <w:tcPr>
            <w:tcW w:w="22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22" w:lineRule="exact"/>
              <w:rPr>
                <w:sz w:val="20"/>
                <w:szCs w:val="20"/>
                <w:color w:val="auto"/>
              </w:rPr>
            </w:pPr>
            <w:r>
              <w:rPr>
                <w:rFonts w:ascii="Arial" w:cs="Arial" w:eastAsia="Arial" w:hAnsi="Arial"/>
                <w:sz w:val="20"/>
                <w:szCs w:val="20"/>
                <w:color w:val="auto"/>
              </w:rPr>
              <w:t>59,400</w:t>
            </w:r>
          </w:p>
        </w:tc>
        <w:tc>
          <w:tcPr>
            <w:tcW w:w="240" w:type="dxa"/>
            <w:vAlign w:val="bottom"/>
            <w:gridSpan w:val="2"/>
          </w:tcPr>
          <w:p>
            <w:pPr>
              <w:jc w:val="right"/>
              <w:ind w:right="20"/>
              <w:spacing w:after="0" w:line="222"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2" w:lineRule="exact"/>
              <w:rPr>
                <w:sz w:val="20"/>
                <w:szCs w:val="20"/>
                <w:color w:val="auto"/>
              </w:rPr>
            </w:pPr>
            <w:r>
              <w:rPr>
                <w:rFonts w:ascii="Arial" w:cs="Arial" w:eastAsia="Arial" w:hAnsi="Arial"/>
                <w:sz w:val="20"/>
                <w:szCs w:val="20"/>
                <w:color w:val="auto"/>
              </w:rPr>
              <w:t>70,388</w:t>
            </w:r>
          </w:p>
        </w:tc>
        <w:tc>
          <w:tcPr>
            <w:tcW w:w="38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129,788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-43180</wp:posOffset>
            </wp:positionV>
            <wp:extent cx="2567940" cy="50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7940" cy="50165"/>
                    </a:xfrm>
                    <a:prstGeom prst="rect">
                      <a:avLst/>
                    </a:prstGeom>
                    <a:noFill/>
                  </pic:spPr>
                </pic:pic>
              </a:graphicData>
            </a:graphic>
          </wp:anchor>
        </w:drawing>
      </w:r>
    </w:p>
    <w:p>
      <w:pPr>
        <w:spacing w:after="0" w:line="145" w:lineRule="exact"/>
        <w:rPr>
          <w:sz w:val="20"/>
          <w:szCs w:val="20"/>
          <w:color w:val="auto"/>
        </w:rPr>
      </w:pPr>
    </w:p>
    <w:p>
      <w:pPr>
        <w:ind w:right="160" w:firstLine="758"/>
        <w:spacing w:after="0" w:line="293" w:lineRule="auto"/>
        <w:rPr>
          <w:sz w:val="20"/>
          <w:szCs w:val="20"/>
          <w:color w:val="auto"/>
        </w:rPr>
      </w:pPr>
      <w:r>
        <w:rPr>
          <w:rFonts w:ascii="Arial" w:cs="Arial" w:eastAsia="Arial" w:hAnsi="Arial"/>
          <w:sz w:val="18"/>
          <w:szCs w:val="18"/>
          <w:color w:val="auto"/>
        </w:rPr>
        <w:t>In the year ended December 31, 2024, there were no significant benefits or charges resulting from changes in estimates for closure and post-closure liabilities. In 2024 and 2023, the Company has been executing upon the planned closure activities at the Company’s non-commercial landfill at the Deer Park, Texas incinerator facility after the site reached its permitted capacity, in early 2023. There have been no changes to the estimated closure costs related to this location.</w:t>
      </w:r>
    </w:p>
    <w:p>
      <w:pPr>
        <w:spacing w:after="0" w:line="92" w:lineRule="exact"/>
        <w:rPr>
          <w:sz w:val="20"/>
          <w:szCs w:val="20"/>
          <w:color w:val="auto"/>
        </w:rPr>
      </w:pPr>
    </w:p>
    <w:p>
      <w:pPr>
        <w:ind w:right="300" w:firstLine="709"/>
        <w:spacing w:after="0" w:line="261" w:lineRule="auto"/>
        <w:rPr>
          <w:sz w:val="20"/>
          <w:szCs w:val="20"/>
          <w:color w:val="auto"/>
        </w:rPr>
      </w:pPr>
      <w:r>
        <w:rPr>
          <w:rFonts w:ascii="Arial" w:cs="Arial" w:eastAsia="Arial" w:hAnsi="Arial"/>
          <w:sz w:val="20"/>
          <w:szCs w:val="20"/>
          <w:color w:val="auto"/>
        </w:rPr>
        <w:t>Anticipated payments (based on current estimated costs and anticipated timing of necessary regulatory approvals to commence work on closure and post-closure activities) for each of the next five years and thereafter are as follows (in thousands):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Years ending December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2025</w:t>
            </w:r>
          </w:p>
        </w:tc>
        <w:tc>
          <w:tcPr>
            <w:tcW w:w="460" w:type="dxa"/>
            <w:vAlign w:val="bottom"/>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10,304</w:t>
            </w:r>
          </w:p>
        </w:tc>
      </w:tr>
      <w:tr>
        <w:trPr>
          <w:trHeight w:val="275"/>
        </w:trPr>
        <w:tc>
          <w:tcPr>
            <w:tcW w:w="8520" w:type="dxa"/>
            <w:vAlign w:val="bottom"/>
          </w:tcPr>
          <w:p>
            <w:pPr>
              <w:ind w:left="60"/>
              <w:spacing w:after="0"/>
              <w:rPr>
                <w:sz w:val="20"/>
                <w:szCs w:val="20"/>
                <w:color w:val="auto"/>
              </w:rPr>
            </w:pPr>
            <w:r>
              <w:rPr>
                <w:rFonts w:ascii="Arial" w:cs="Arial" w:eastAsia="Arial" w:hAnsi="Arial"/>
                <w:sz w:val="20"/>
                <w:szCs w:val="20"/>
                <w:color w:val="auto"/>
              </w:rPr>
              <w:t>2026</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14,457</w:t>
            </w:r>
          </w:p>
        </w:tc>
      </w:tr>
      <w:tr>
        <w:trPr>
          <w:trHeight w:val="287"/>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2027</w:t>
            </w:r>
          </w:p>
        </w:tc>
        <w:tc>
          <w:tcPr>
            <w:tcW w:w="4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12,485</w:t>
            </w:r>
          </w:p>
        </w:tc>
      </w:tr>
      <w:tr>
        <w:trPr>
          <w:trHeight w:val="275"/>
        </w:trPr>
        <w:tc>
          <w:tcPr>
            <w:tcW w:w="8520" w:type="dxa"/>
            <w:vAlign w:val="bottom"/>
          </w:tcPr>
          <w:p>
            <w:pPr>
              <w:ind w:left="60"/>
              <w:spacing w:after="0"/>
              <w:rPr>
                <w:sz w:val="20"/>
                <w:szCs w:val="20"/>
                <w:color w:val="auto"/>
              </w:rPr>
            </w:pPr>
            <w:r>
              <w:rPr>
                <w:rFonts w:ascii="Arial" w:cs="Arial" w:eastAsia="Arial" w:hAnsi="Arial"/>
                <w:sz w:val="20"/>
                <w:szCs w:val="20"/>
                <w:color w:val="auto"/>
              </w:rPr>
              <w:t>2028</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14,127</w:t>
            </w:r>
          </w:p>
        </w:tc>
      </w:tr>
      <w:tr>
        <w:trPr>
          <w:trHeight w:val="287"/>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2029</w:t>
            </w:r>
          </w:p>
        </w:tc>
        <w:tc>
          <w:tcPr>
            <w:tcW w:w="4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3,224</w:t>
            </w:r>
          </w:p>
        </w:tc>
      </w:tr>
      <w:tr>
        <w:trPr>
          <w:trHeight w:val="271"/>
        </w:trPr>
        <w:tc>
          <w:tcPr>
            <w:tcW w:w="852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278,762</w:t>
            </w:r>
          </w:p>
        </w:tc>
      </w:tr>
      <w:tr>
        <w:trPr>
          <w:trHeight w:val="271"/>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Undiscounted closure and post-closure liabilities</w:t>
            </w:r>
          </w:p>
        </w:tc>
        <w:tc>
          <w:tcPr>
            <w:tcW w:w="46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333,359</w:t>
            </w:r>
          </w:p>
        </w:tc>
      </w:tr>
      <w:tr>
        <w:trPr>
          <w:trHeight w:val="275"/>
        </w:trPr>
        <w:tc>
          <w:tcPr>
            <w:tcW w:w="8520" w:type="dxa"/>
            <w:vAlign w:val="bottom"/>
          </w:tcPr>
          <w:p>
            <w:pPr>
              <w:ind w:left="60"/>
              <w:spacing w:after="0"/>
              <w:rPr>
                <w:sz w:val="20"/>
                <w:szCs w:val="20"/>
                <w:color w:val="auto"/>
              </w:rPr>
            </w:pPr>
            <w:r>
              <w:rPr>
                <w:rFonts w:ascii="Arial" w:cs="Arial" w:eastAsia="Arial" w:hAnsi="Arial"/>
                <w:sz w:val="20"/>
                <w:szCs w:val="20"/>
                <w:color w:val="auto"/>
              </w:rPr>
              <w:t>Less: Discount at credit-adjusted risk-free rate</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(119,353)</w:t>
            </w:r>
          </w:p>
        </w:tc>
      </w:tr>
      <w:tr>
        <w:trPr>
          <w:trHeight w:val="296"/>
        </w:trPr>
        <w:tc>
          <w:tcPr>
            <w:tcW w:w="8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w w:val="92"/>
              </w:rPr>
              <w:t>Less: Undiscounted estimated closure and post-closure liabilities relating to airspace not yet consumed</w:t>
            </w:r>
          </w:p>
        </w:tc>
        <w:tc>
          <w:tcPr>
            <w:tcW w:w="4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(84,218)</w:t>
            </w:r>
          </w:p>
        </w:tc>
      </w:tr>
      <w:tr>
        <w:trPr>
          <w:trHeight w:val="222"/>
        </w:trPr>
        <w:tc>
          <w:tcPr>
            <w:tcW w:w="8520" w:type="dxa"/>
            <w:vAlign w:val="bottom"/>
          </w:tcPr>
          <w:p>
            <w:pPr>
              <w:ind w:left="60"/>
              <w:spacing w:after="0" w:line="222" w:lineRule="exact"/>
              <w:rPr>
                <w:sz w:val="20"/>
                <w:szCs w:val="20"/>
                <w:color w:val="auto"/>
              </w:rPr>
            </w:pPr>
            <w:r>
              <w:rPr>
                <w:rFonts w:ascii="Arial" w:cs="Arial" w:eastAsia="Arial" w:hAnsi="Arial"/>
                <w:sz w:val="20"/>
                <w:szCs w:val="20"/>
                <w:color w:val="auto"/>
              </w:rPr>
              <w:t>Present value of closure and post-closure liabilities</w:t>
            </w:r>
          </w:p>
        </w:tc>
        <w:tc>
          <w:tcPr>
            <w:tcW w:w="460" w:type="dxa"/>
            <w:vAlign w:val="bottom"/>
            <w:tcBorders>
              <w:bottom w:val="single" w:sz="8" w:color="auto"/>
            </w:tcBorders>
          </w:tcPr>
          <w:p>
            <w:pPr>
              <w:jc w:val="right"/>
              <w:ind w:right="222"/>
              <w:spacing w:after="0" w:line="222"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129,788</w:t>
            </w:r>
          </w:p>
        </w:tc>
      </w:tr>
      <w:tr>
        <w:trPr>
          <w:trHeight w:val="20"/>
        </w:trPr>
        <w:tc>
          <w:tcPr>
            <w:tcW w:w="8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5398770</wp:posOffset>
            </wp:positionH>
            <wp:positionV relativeFrom="paragraph">
              <wp:posOffset>-40640</wp:posOffset>
            </wp:positionV>
            <wp:extent cx="1023620" cy="45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3620" cy="45085"/>
                    </a:xfrm>
                    <a:prstGeom prst="rect">
                      <a:avLst/>
                    </a:prstGeom>
                    <a:noFill/>
                  </pic:spPr>
                </pic:pic>
              </a:graphicData>
            </a:graphic>
          </wp:anchor>
        </w:drawing>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880" w:h="15480" w:orient="portrait"/>
          <w:cols w:equalWidth="0" w:num="1">
            <w:col w:w="10120"/>
          </w:cols>
          <w:pgMar w:left="880" w:top="338" w:right="880" w:bottom="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REMEDIAL LIABILITIES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changes to remedial liabilities from January 1, 2023 through December 31, 2024 were as follows (in thousands):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46"/>
              <w:spacing w:after="0"/>
              <w:rPr>
                <w:sz w:val="20"/>
                <w:szCs w:val="20"/>
                <w:color w:val="auto"/>
              </w:rPr>
            </w:pPr>
            <w:r>
              <w:rPr>
                <w:rFonts w:ascii="Arial" w:cs="Arial" w:eastAsia="Arial" w:hAnsi="Arial"/>
                <w:sz w:val="16"/>
                <w:szCs w:val="16"/>
                <w:b w:val="1"/>
                <w:bCs w:val="1"/>
                <w:color w:val="auto"/>
                <w:w w:val="89"/>
              </w:rPr>
              <w:t>Remedial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46"/>
              <w:spacing w:after="0" w:line="158" w:lineRule="exact"/>
              <w:rPr>
                <w:sz w:val="20"/>
                <w:szCs w:val="20"/>
                <w:color w:val="auto"/>
              </w:rPr>
            </w:pPr>
            <w:r>
              <w:rPr>
                <w:rFonts w:ascii="Arial" w:cs="Arial" w:eastAsia="Arial" w:hAnsi="Arial"/>
                <w:sz w:val="16"/>
                <w:szCs w:val="16"/>
                <w:b w:val="1"/>
                <w:bCs w:val="1"/>
                <w:color w:val="auto"/>
                <w:w w:val="92"/>
              </w:rPr>
              <w:t>Liabilities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66"/>
              <w:spacing w:after="0" w:line="158" w:lineRule="exact"/>
              <w:rPr>
                <w:sz w:val="20"/>
                <w:szCs w:val="20"/>
                <w:color w:val="auto"/>
              </w:rPr>
            </w:pPr>
            <w:r>
              <w:rPr>
                <w:rFonts w:ascii="Arial" w:cs="Arial" w:eastAsia="Arial" w:hAnsi="Arial"/>
                <w:sz w:val="16"/>
                <w:szCs w:val="16"/>
                <w:b w:val="1"/>
                <w:bCs w:val="1"/>
                <w:color w:val="auto"/>
                <w:w w:val="91"/>
              </w:rPr>
              <w:t>(Including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w w:val="89"/>
              </w:rPr>
              <w:t>Remedial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w w:val="89"/>
              </w:rPr>
              <w:t>Remedial</w:t>
            </w:r>
          </w:p>
        </w:tc>
        <w:tc>
          <w:tcPr>
            <w:tcW w:w="60" w:type="dxa"/>
            <w:vAlign w:val="bottom"/>
          </w:tcPr>
          <w:p>
            <w:pPr>
              <w:spacing w:after="0"/>
              <w:rPr>
                <w:sz w:val="13"/>
                <w:szCs w:val="13"/>
                <w:color w:val="auto"/>
              </w:rPr>
            </w:pPr>
          </w:p>
        </w:tc>
        <w:tc>
          <w:tcPr>
            <w:tcW w:w="10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9"/>
              </w:rPr>
              <w:t>Superfund)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46"/>
              <w:spacing w:after="0" w:line="158" w:lineRule="exact"/>
              <w:rPr>
                <w:sz w:val="20"/>
                <w:szCs w:val="20"/>
                <w:color w:val="auto"/>
              </w:rPr>
            </w:pPr>
            <w:r>
              <w:rPr>
                <w:rFonts w:ascii="Arial" w:cs="Arial" w:eastAsia="Arial" w:hAnsi="Arial"/>
                <w:sz w:val="16"/>
                <w:szCs w:val="16"/>
                <w:b w:val="1"/>
                <w:bCs w:val="1"/>
                <w:color w:val="auto"/>
                <w:w w:val="93"/>
              </w:rPr>
              <w:t>for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780" w:type="dxa"/>
            <w:vAlign w:val="bottom"/>
          </w:tcPr>
          <w:p>
            <w:pPr>
              <w:spacing w:after="0"/>
              <w:rPr>
                <w:sz w:val="13"/>
                <w:szCs w:val="13"/>
                <w:color w:val="auto"/>
              </w:rPr>
            </w:pPr>
          </w:p>
        </w:tc>
        <w:tc>
          <w:tcPr>
            <w:tcW w:w="102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w w:val="94"/>
              </w:rPr>
              <w:t>Liabilities for</w:t>
            </w:r>
          </w:p>
        </w:tc>
        <w:tc>
          <w:tcPr>
            <w:tcW w:w="8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w w:val="96"/>
              </w:rPr>
              <w:t>Liabilities for</w:t>
            </w:r>
          </w:p>
        </w:tc>
        <w:tc>
          <w:tcPr>
            <w:tcW w:w="60" w:type="dxa"/>
            <w:vAlign w:val="bottom"/>
          </w:tcPr>
          <w:p>
            <w:pPr>
              <w:spacing w:after="0"/>
              <w:rPr>
                <w:sz w:val="13"/>
                <w:szCs w:val="13"/>
                <w:color w:val="auto"/>
              </w:rPr>
            </w:pPr>
          </w:p>
        </w:tc>
        <w:tc>
          <w:tcPr>
            <w:tcW w:w="10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4"/>
              </w:rPr>
              <w:t>Non-Landfill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4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780" w:type="dxa"/>
            <w:vAlign w:val="bottom"/>
            <w:tcBorders>
              <w:bottom w:val="single" w:sz="8" w:color="E6E6E6"/>
            </w:tcBorders>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4"/>
              </w:rPr>
              <w:t>Landfill Sites</w:t>
            </w:r>
          </w:p>
        </w:tc>
        <w:tc>
          <w:tcPr>
            <w:tcW w:w="80" w:type="dxa"/>
            <w:vAlign w:val="bottom"/>
            <w:tcBorders>
              <w:bottom w:val="single" w:sz="8" w:color="E6E6E6"/>
            </w:tcBorders>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1"/>
              </w:rPr>
              <w:t>Inactive Sites</w:t>
            </w:r>
          </w:p>
        </w:tc>
        <w:tc>
          <w:tcPr>
            <w:tcW w:w="60" w:type="dxa"/>
            <w:vAlign w:val="bottom"/>
            <w:tcBorders>
              <w:bottom w:val="single" w:sz="8" w:color="E6E6E6"/>
            </w:tcBorders>
          </w:tcPr>
          <w:p>
            <w:pPr>
              <w:spacing w:after="0"/>
              <w:rPr>
                <w:sz w:val="18"/>
                <w:szCs w:val="18"/>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Operations</w:t>
            </w:r>
          </w:p>
        </w:tc>
        <w:tc>
          <w:tcPr>
            <w:tcW w:w="8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780" w:type="dxa"/>
            <w:vAlign w:val="bottom"/>
            <w:shd w:val="clear" w:color="auto" w:fill="E6E6E6"/>
          </w:tcPr>
          <w:p>
            <w:pPr>
              <w:ind w:left="60"/>
              <w:spacing w:after="0"/>
              <w:rPr>
                <w:sz w:val="20"/>
                <w:szCs w:val="20"/>
                <w:color w:val="auto"/>
              </w:rPr>
            </w:pPr>
            <w:r>
              <w:rPr>
                <w:rFonts w:ascii="Arial" w:cs="Arial" w:eastAsia="Arial" w:hAnsi="Arial"/>
                <w:sz w:val="20"/>
                <w:szCs w:val="20"/>
                <w:color w:val="auto"/>
              </w:rPr>
              <w:t>Balance at January 1, 2023</w:t>
            </w:r>
          </w:p>
        </w:tc>
        <w:tc>
          <w:tcPr>
            <w:tcW w:w="160" w:type="dxa"/>
            <w:vAlign w:val="bottom"/>
            <w:shd w:val="clear" w:color="auto" w:fill="E6E6E6"/>
          </w:tcPr>
          <w:p>
            <w:pPr>
              <w:ind w:left="60"/>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1,824</w:t>
            </w:r>
          </w:p>
        </w:tc>
        <w:tc>
          <w:tcPr>
            <w:tcW w:w="240" w:type="dxa"/>
            <w:vAlign w:val="bottom"/>
            <w:gridSpan w:val="2"/>
            <w:shd w:val="clear" w:color="auto" w:fill="E6E6E6"/>
          </w:tcPr>
          <w:p>
            <w:pPr>
              <w:ind w:left="120"/>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59,749</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54,717</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6"/>
              </w:rPr>
              <w:t>116,290</w:t>
            </w:r>
          </w:p>
        </w:tc>
        <w:tc>
          <w:tcPr>
            <w:tcW w:w="0" w:type="dxa"/>
            <w:vAlign w:val="bottom"/>
          </w:tcPr>
          <w:p>
            <w:pPr>
              <w:spacing w:after="0"/>
              <w:rPr>
                <w:sz w:val="1"/>
                <w:szCs w:val="1"/>
                <w:color w:val="auto"/>
              </w:rPr>
            </w:pPr>
          </w:p>
        </w:tc>
      </w:tr>
      <w:tr>
        <w:trPr>
          <w:trHeight w:val="275"/>
        </w:trPr>
        <w:tc>
          <w:tcPr>
            <w:tcW w:w="5780" w:type="dxa"/>
            <w:vAlign w:val="bottom"/>
          </w:tcPr>
          <w:p>
            <w:pPr>
              <w:ind w:left="60"/>
              <w:spacing w:after="0"/>
              <w:rPr>
                <w:sz w:val="20"/>
                <w:szCs w:val="20"/>
                <w:color w:val="auto"/>
              </w:rPr>
            </w:pPr>
            <w:r>
              <w:rPr>
                <w:rFonts w:ascii="Arial" w:cs="Arial" w:eastAsia="Arial" w:hAnsi="Arial"/>
                <w:sz w:val="20"/>
                <w:szCs w:val="20"/>
                <w:color w:val="auto"/>
              </w:rPr>
              <w:t>Accretion</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2,540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1,561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4,190</w:t>
            </w:r>
          </w:p>
        </w:tc>
        <w:tc>
          <w:tcPr>
            <w:tcW w:w="0" w:type="dxa"/>
            <w:vAlign w:val="bottom"/>
          </w:tcPr>
          <w:p>
            <w:pPr>
              <w:spacing w:after="0"/>
              <w:rPr>
                <w:sz w:val="1"/>
                <w:szCs w:val="1"/>
                <w:color w:val="auto"/>
              </w:rPr>
            </w:pPr>
          </w:p>
        </w:tc>
      </w:tr>
      <w:tr>
        <w:trPr>
          <w:trHeight w:val="287"/>
        </w:trPr>
        <w:tc>
          <w:tcPr>
            <w:tcW w:w="5780" w:type="dxa"/>
            <w:vAlign w:val="bottom"/>
            <w:shd w:val="clear" w:color="auto" w:fill="E6E6E6"/>
          </w:tcPr>
          <w:p>
            <w:pPr>
              <w:ind w:left="60"/>
              <w:spacing w:after="0"/>
              <w:rPr>
                <w:sz w:val="20"/>
                <w:szCs w:val="20"/>
                <w:color w:val="auto"/>
              </w:rPr>
            </w:pPr>
            <w:r>
              <w:rPr>
                <w:rFonts w:ascii="Arial" w:cs="Arial" w:eastAsia="Arial" w:hAnsi="Arial"/>
                <w:sz w:val="20"/>
                <w:szCs w:val="20"/>
                <w:color w:val="auto"/>
                <w:w w:val="90"/>
              </w:rPr>
              <w:t>Changes in estimates recorded to consolidated statement of operations</w:t>
            </w:r>
          </w:p>
        </w:tc>
        <w:tc>
          <w:tcPr>
            <w:tcW w:w="1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1,713</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1,896</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3,628</w:t>
            </w:r>
          </w:p>
        </w:tc>
        <w:tc>
          <w:tcPr>
            <w:tcW w:w="0" w:type="dxa"/>
            <w:vAlign w:val="bottom"/>
          </w:tcPr>
          <w:p>
            <w:pPr>
              <w:spacing w:after="0"/>
              <w:rPr>
                <w:sz w:val="1"/>
                <w:szCs w:val="1"/>
                <w:color w:val="auto"/>
              </w:rPr>
            </w:pPr>
          </w:p>
        </w:tc>
      </w:tr>
      <w:tr>
        <w:trPr>
          <w:trHeight w:val="275"/>
        </w:trPr>
        <w:tc>
          <w:tcPr>
            <w:tcW w:w="5780" w:type="dxa"/>
            <w:vAlign w:val="bottom"/>
          </w:tcPr>
          <w:p>
            <w:pPr>
              <w:ind w:left="60"/>
              <w:spacing w:after="0"/>
              <w:rPr>
                <w:sz w:val="20"/>
                <w:szCs w:val="20"/>
                <w:color w:val="auto"/>
              </w:rPr>
            </w:pPr>
            <w:r>
              <w:rPr>
                <w:rFonts w:ascii="Arial" w:cs="Arial" w:eastAsia="Arial" w:hAnsi="Arial"/>
                <w:sz w:val="20"/>
                <w:szCs w:val="20"/>
                <w:color w:val="auto"/>
              </w:rPr>
              <w:t>Environmental expenditures</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(3,840)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(9,384)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(13,276)</w:t>
            </w:r>
          </w:p>
        </w:tc>
        <w:tc>
          <w:tcPr>
            <w:tcW w:w="0" w:type="dxa"/>
            <w:vAlign w:val="bottom"/>
          </w:tcPr>
          <w:p>
            <w:pPr>
              <w:spacing w:after="0"/>
              <w:rPr>
                <w:sz w:val="1"/>
                <w:szCs w:val="1"/>
                <w:color w:val="auto"/>
              </w:rPr>
            </w:pPr>
          </w:p>
        </w:tc>
      </w:tr>
      <w:tr>
        <w:trPr>
          <w:trHeight w:val="296"/>
        </w:trPr>
        <w:tc>
          <w:tcPr>
            <w:tcW w:w="57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Currency translation and other</w:t>
            </w:r>
          </w:p>
        </w:tc>
        <w:tc>
          <w:tcPr>
            <w:tcW w:w="1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115</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296</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411</w:t>
            </w:r>
          </w:p>
        </w:tc>
        <w:tc>
          <w:tcPr>
            <w:tcW w:w="0" w:type="dxa"/>
            <w:vAlign w:val="bottom"/>
          </w:tcPr>
          <w:p>
            <w:pPr>
              <w:spacing w:after="0"/>
              <w:rPr>
                <w:sz w:val="1"/>
                <w:szCs w:val="1"/>
                <w:color w:val="auto"/>
              </w:rPr>
            </w:pPr>
          </w:p>
        </w:tc>
      </w:tr>
      <w:tr>
        <w:trPr>
          <w:trHeight w:val="241"/>
        </w:trPr>
        <w:tc>
          <w:tcPr>
            <w:tcW w:w="578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Balance at December 31, 2023</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1,880</w:t>
            </w:r>
          </w:p>
        </w:tc>
        <w:tc>
          <w:tcPr>
            <w:tcW w:w="8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60,277</w:t>
            </w:r>
          </w:p>
        </w:tc>
        <w:tc>
          <w:tcPr>
            <w:tcW w:w="6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49,086</w:t>
            </w: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111,243</w:t>
            </w:r>
          </w:p>
        </w:tc>
        <w:tc>
          <w:tcPr>
            <w:tcW w:w="0" w:type="dxa"/>
            <w:vAlign w:val="bottom"/>
          </w:tcPr>
          <w:p>
            <w:pPr>
              <w:spacing w:after="0"/>
              <w:rPr>
                <w:sz w:val="1"/>
                <w:szCs w:val="1"/>
                <w:color w:val="auto"/>
              </w:rPr>
            </w:pPr>
          </w:p>
        </w:tc>
      </w:tr>
      <w:tr>
        <w:trPr>
          <w:trHeight w:val="271"/>
        </w:trPr>
        <w:tc>
          <w:tcPr>
            <w:tcW w:w="5780" w:type="dxa"/>
            <w:vAlign w:val="bottom"/>
            <w:shd w:val="clear" w:color="auto" w:fill="E6E6E6"/>
          </w:tcPr>
          <w:p>
            <w:pPr>
              <w:ind w:left="60"/>
              <w:spacing w:after="0"/>
              <w:rPr>
                <w:sz w:val="20"/>
                <w:szCs w:val="20"/>
                <w:color w:val="auto"/>
              </w:rPr>
            </w:pPr>
            <w:r>
              <w:rPr>
                <w:rFonts w:ascii="Arial" w:cs="Arial" w:eastAsia="Arial" w:hAnsi="Arial"/>
                <w:sz w:val="20"/>
                <w:szCs w:val="20"/>
                <w:color w:val="auto"/>
              </w:rPr>
              <w:t>Liabilities assumed in acquisitions</w:t>
            </w:r>
          </w:p>
        </w:tc>
        <w:tc>
          <w:tcPr>
            <w:tcW w:w="160" w:type="dxa"/>
            <w:vAlign w:val="bottom"/>
            <w:shd w:val="clear" w:color="auto" w:fill="E6E6E6"/>
          </w:tcPr>
          <w:p>
            <w:pPr>
              <w:spacing w:after="0"/>
              <w:rPr>
                <w:sz w:val="23"/>
                <w:szCs w:val="23"/>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5,192</w:t>
            </w:r>
          </w:p>
        </w:tc>
        <w:tc>
          <w:tcPr>
            <w:tcW w:w="8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5,192</w:t>
            </w:r>
          </w:p>
        </w:tc>
        <w:tc>
          <w:tcPr>
            <w:tcW w:w="0" w:type="dxa"/>
            <w:vAlign w:val="bottom"/>
          </w:tcPr>
          <w:p>
            <w:pPr>
              <w:spacing w:after="0"/>
              <w:rPr>
                <w:sz w:val="1"/>
                <w:szCs w:val="1"/>
                <w:color w:val="auto"/>
              </w:rPr>
            </w:pPr>
          </w:p>
        </w:tc>
      </w:tr>
      <w:tr>
        <w:trPr>
          <w:trHeight w:val="275"/>
        </w:trPr>
        <w:tc>
          <w:tcPr>
            <w:tcW w:w="5780" w:type="dxa"/>
            <w:vAlign w:val="bottom"/>
          </w:tcPr>
          <w:p>
            <w:pPr>
              <w:ind w:left="60"/>
              <w:spacing w:after="0"/>
              <w:rPr>
                <w:sz w:val="20"/>
                <w:szCs w:val="20"/>
                <w:color w:val="auto"/>
              </w:rPr>
            </w:pPr>
            <w:r>
              <w:rPr>
                <w:rFonts w:ascii="Arial" w:cs="Arial" w:eastAsia="Arial" w:hAnsi="Arial"/>
                <w:sz w:val="20"/>
                <w:szCs w:val="20"/>
                <w:color w:val="auto"/>
              </w:rPr>
              <w:t>Accretion</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2,292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1,514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3,898</w:t>
            </w:r>
          </w:p>
        </w:tc>
        <w:tc>
          <w:tcPr>
            <w:tcW w:w="0" w:type="dxa"/>
            <w:vAlign w:val="bottom"/>
          </w:tcPr>
          <w:p>
            <w:pPr>
              <w:spacing w:after="0"/>
              <w:rPr>
                <w:sz w:val="1"/>
                <w:szCs w:val="1"/>
                <w:color w:val="auto"/>
              </w:rPr>
            </w:pPr>
          </w:p>
        </w:tc>
      </w:tr>
      <w:tr>
        <w:trPr>
          <w:trHeight w:val="287"/>
        </w:trPr>
        <w:tc>
          <w:tcPr>
            <w:tcW w:w="5780" w:type="dxa"/>
            <w:vAlign w:val="bottom"/>
            <w:shd w:val="clear" w:color="auto" w:fill="E6E6E6"/>
          </w:tcPr>
          <w:p>
            <w:pPr>
              <w:ind w:left="60"/>
              <w:spacing w:after="0"/>
              <w:rPr>
                <w:sz w:val="20"/>
                <w:szCs w:val="20"/>
                <w:color w:val="auto"/>
              </w:rPr>
            </w:pPr>
            <w:r>
              <w:rPr>
                <w:rFonts w:ascii="Arial" w:cs="Arial" w:eastAsia="Arial" w:hAnsi="Arial"/>
                <w:sz w:val="20"/>
                <w:szCs w:val="20"/>
                <w:color w:val="auto"/>
                <w:w w:val="90"/>
              </w:rPr>
              <w:t>Changes in estimates recorded to consolidated statement of operations</w:t>
            </w:r>
          </w:p>
        </w:tc>
        <w:tc>
          <w:tcPr>
            <w:tcW w:w="1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573</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3,762</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4,364</w:t>
            </w:r>
          </w:p>
        </w:tc>
        <w:tc>
          <w:tcPr>
            <w:tcW w:w="0" w:type="dxa"/>
            <w:vAlign w:val="bottom"/>
          </w:tcPr>
          <w:p>
            <w:pPr>
              <w:spacing w:after="0"/>
              <w:rPr>
                <w:sz w:val="1"/>
                <w:szCs w:val="1"/>
                <w:color w:val="auto"/>
              </w:rPr>
            </w:pPr>
          </w:p>
        </w:tc>
      </w:tr>
      <w:tr>
        <w:trPr>
          <w:trHeight w:val="275"/>
        </w:trPr>
        <w:tc>
          <w:tcPr>
            <w:tcW w:w="5780" w:type="dxa"/>
            <w:vAlign w:val="bottom"/>
          </w:tcPr>
          <w:p>
            <w:pPr>
              <w:ind w:left="60"/>
              <w:spacing w:after="0"/>
              <w:rPr>
                <w:sz w:val="20"/>
                <w:szCs w:val="20"/>
                <w:color w:val="auto"/>
              </w:rPr>
            </w:pPr>
            <w:r>
              <w:rPr>
                <w:rFonts w:ascii="Arial" w:cs="Arial" w:eastAsia="Arial" w:hAnsi="Arial"/>
                <w:sz w:val="20"/>
                <w:szCs w:val="20"/>
                <w:color w:val="auto"/>
              </w:rPr>
              <w:t>Expenditures</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(6,078)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(5,715)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(11,846)</w:t>
            </w:r>
          </w:p>
        </w:tc>
        <w:tc>
          <w:tcPr>
            <w:tcW w:w="0" w:type="dxa"/>
            <w:vAlign w:val="bottom"/>
          </w:tcPr>
          <w:p>
            <w:pPr>
              <w:spacing w:after="0"/>
              <w:rPr>
                <w:sz w:val="1"/>
                <w:szCs w:val="1"/>
                <w:color w:val="auto"/>
              </w:rPr>
            </w:pPr>
          </w:p>
        </w:tc>
      </w:tr>
      <w:tr>
        <w:trPr>
          <w:trHeight w:val="296"/>
        </w:trPr>
        <w:tc>
          <w:tcPr>
            <w:tcW w:w="57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Currency translation and other</w:t>
            </w:r>
          </w:p>
        </w:tc>
        <w:tc>
          <w:tcPr>
            <w:tcW w:w="1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(1,078)</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(1,106)</w:t>
            </w:r>
          </w:p>
        </w:tc>
        <w:tc>
          <w:tcPr>
            <w:tcW w:w="0" w:type="dxa"/>
            <w:vAlign w:val="bottom"/>
          </w:tcPr>
          <w:p>
            <w:pPr>
              <w:spacing w:after="0"/>
              <w:rPr>
                <w:sz w:val="1"/>
                <w:szCs w:val="1"/>
                <w:color w:val="auto"/>
              </w:rPr>
            </w:pPr>
          </w:p>
        </w:tc>
      </w:tr>
      <w:tr>
        <w:trPr>
          <w:trHeight w:val="222"/>
        </w:trPr>
        <w:tc>
          <w:tcPr>
            <w:tcW w:w="5780" w:type="dxa"/>
            <w:vAlign w:val="bottom"/>
          </w:tcPr>
          <w:p>
            <w:pPr>
              <w:ind w:left="60"/>
              <w:spacing w:after="0" w:line="222" w:lineRule="exact"/>
              <w:rPr>
                <w:sz w:val="20"/>
                <w:szCs w:val="20"/>
                <w:color w:val="auto"/>
              </w:rPr>
            </w:pPr>
            <w:r>
              <w:rPr>
                <w:rFonts w:ascii="Arial" w:cs="Arial" w:eastAsia="Arial" w:hAnsi="Arial"/>
                <w:sz w:val="20"/>
                <w:szCs w:val="20"/>
                <w:color w:val="auto"/>
              </w:rPr>
              <w:t>Balance at December 31, 2024</w:t>
            </w:r>
          </w:p>
        </w:tc>
        <w:tc>
          <w:tcPr>
            <w:tcW w:w="160" w:type="dxa"/>
            <w:vAlign w:val="bottom"/>
          </w:tcPr>
          <w:p>
            <w:pPr>
              <w:ind w:left="60"/>
              <w:spacing w:after="0" w:line="222" w:lineRule="exact"/>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line="222" w:lineRule="exact"/>
              <w:rPr>
                <w:sz w:val="20"/>
                <w:szCs w:val="20"/>
                <w:color w:val="auto"/>
              </w:rPr>
            </w:pPr>
            <w:r>
              <w:rPr>
                <w:rFonts w:ascii="Arial" w:cs="Arial" w:eastAsia="Arial" w:hAnsi="Arial"/>
                <w:sz w:val="20"/>
                <w:szCs w:val="20"/>
                <w:color w:val="auto"/>
              </w:rPr>
              <w:t>1,948</w:t>
            </w:r>
          </w:p>
        </w:tc>
        <w:tc>
          <w:tcPr>
            <w:tcW w:w="240" w:type="dxa"/>
            <w:vAlign w:val="bottom"/>
            <w:gridSpan w:val="2"/>
          </w:tcPr>
          <w:p>
            <w:pPr>
              <w:ind w:left="120"/>
              <w:spacing w:after="0" w:line="222" w:lineRule="exact"/>
              <w:rPr>
                <w:sz w:val="20"/>
                <w:szCs w:val="20"/>
                <w:color w:val="auto"/>
              </w:rPr>
            </w:pPr>
            <w:r>
              <w:rPr>
                <w:rFonts w:ascii="Arial" w:cs="Arial" w:eastAsia="Arial" w:hAnsi="Arial"/>
                <w:sz w:val="20"/>
                <w:szCs w:val="20"/>
                <w:color w:val="auto"/>
                <w:w w:val="89"/>
              </w:rPr>
              <w:t>$</w:t>
            </w:r>
          </w:p>
        </w:tc>
        <w:tc>
          <w:tcPr>
            <w:tcW w:w="860" w:type="dxa"/>
            <w:vAlign w:val="bottom"/>
          </w:tcPr>
          <w:p>
            <w:pPr>
              <w:jc w:val="right"/>
              <w:spacing w:after="0" w:line="222" w:lineRule="exact"/>
              <w:rPr>
                <w:sz w:val="20"/>
                <w:szCs w:val="20"/>
                <w:color w:val="auto"/>
              </w:rPr>
            </w:pPr>
            <w:r>
              <w:rPr>
                <w:rFonts w:ascii="Arial" w:cs="Arial" w:eastAsia="Arial" w:hAnsi="Arial"/>
                <w:sz w:val="20"/>
                <w:szCs w:val="20"/>
                <w:color w:val="auto"/>
              </w:rPr>
              <w:t>57,036</w:t>
            </w:r>
          </w:p>
        </w:tc>
        <w:tc>
          <w:tcPr>
            <w:tcW w:w="2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w:t>
            </w:r>
          </w:p>
        </w:tc>
        <w:tc>
          <w:tcPr>
            <w:tcW w:w="860" w:type="dxa"/>
            <w:vAlign w:val="bottom"/>
          </w:tcPr>
          <w:p>
            <w:pPr>
              <w:jc w:val="right"/>
              <w:spacing w:after="0" w:line="222" w:lineRule="exact"/>
              <w:rPr>
                <w:sz w:val="20"/>
                <w:szCs w:val="20"/>
                <w:color w:val="auto"/>
              </w:rPr>
            </w:pPr>
            <w:r>
              <w:rPr>
                <w:rFonts w:ascii="Arial" w:cs="Arial" w:eastAsia="Arial" w:hAnsi="Arial"/>
                <w:sz w:val="20"/>
                <w:szCs w:val="20"/>
                <w:color w:val="auto"/>
              </w:rPr>
              <w:t>52,761</w:t>
            </w:r>
          </w:p>
        </w:tc>
        <w:tc>
          <w:tcPr>
            <w:tcW w:w="300" w:type="dxa"/>
            <w:vAlign w:val="bottom"/>
            <w:gridSpan w:val="2"/>
          </w:tcPr>
          <w:p>
            <w:pPr>
              <w:jc w:val="right"/>
              <w:ind w:right="80"/>
              <w:spacing w:after="0" w:line="222" w:lineRule="exact"/>
              <w:rPr>
                <w:sz w:val="20"/>
                <w:szCs w:val="20"/>
                <w:color w:val="auto"/>
              </w:rPr>
            </w:pPr>
            <w:r>
              <w:rPr>
                <w:rFonts w:ascii="Arial" w:cs="Arial" w:eastAsia="Arial" w:hAnsi="Arial"/>
                <w:sz w:val="20"/>
                <w:szCs w:val="20"/>
                <w:color w:val="auto"/>
              </w:rPr>
              <w:t>$</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w w:val="96"/>
              </w:rPr>
              <w:t>111,745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-43180</wp:posOffset>
            </wp:positionV>
            <wp:extent cx="2755900" cy="5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55900" cy="50165"/>
                    </a:xfrm>
                    <a:prstGeom prst="rect">
                      <a:avLst/>
                    </a:prstGeom>
                    <a:noFill/>
                  </pic:spPr>
                </pic:pic>
              </a:graphicData>
            </a:graphic>
          </wp:anchor>
        </w:drawing>
      </w:r>
    </w:p>
    <w:p>
      <w:pPr>
        <w:spacing w:after="0" w:line="145" w:lineRule="exact"/>
        <w:rPr>
          <w:sz w:val="20"/>
          <w:szCs w:val="20"/>
          <w:color w:val="auto"/>
        </w:rPr>
      </w:pPr>
    </w:p>
    <w:p>
      <w:pPr>
        <w:ind w:right="100" w:firstLine="709"/>
        <w:spacing w:after="0" w:line="276" w:lineRule="auto"/>
        <w:rPr>
          <w:sz w:val="20"/>
          <w:szCs w:val="20"/>
          <w:color w:val="auto"/>
        </w:rPr>
      </w:pPr>
      <w:r>
        <w:rPr>
          <w:rFonts w:ascii="Arial" w:cs="Arial" w:eastAsia="Arial" w:hAnsi="Arial"/>
          <w:sz w:val="20"/>
          <w:szCs w:val="20"/>
          <w:color w:val="auto"/>
        </w:rPr>
        <w:t>In the year ended December 31, 2024, the Company increased its remedial liabilities for an existing Superfund site by $2.9 million related to new information on the ultimate remediation of this site.</w:t>
      </w:r>
    </w:p>
    <w:p>
      <w:pPr>
        <w:spacing w:after="0" w:line="101" w:lineRule="exact"/>
        <w:rPr>
          <w:sz w:val="20"/>
          <w:szCs w:val="20"/>
          <w:color w:val="auto"/>
        </w:rPr>
      </w:pPr>
    </w:p>
    <w:p>
      <w:pPr>
        <w:ind w:right="20" w:firstLine="709"/>
        <w:spacing w:after="0" w:line="261" w:lineRule="auto"/>
        <w:rPr>
          <w:sz w:val="20"/>
          <w:szCs w:val="20"/>
          <w:color w:val="auto"/>
        </w:rPr>
      </w:pPr>
      <w:r>
        <w:rPr>
          <w:rFonts w:ascii="Arial" w:cs="Arial" w:eastAsia="Arial" w:hAnsi="Arial"/>
          <w:sz w:val="20"/>
          <w:szCs w:val="20"/>
          <w:color w:val="auto"/>
        </w:rPr>
        <w:t>Anticipated payments at December 31, 2024 (based on current estimated costs and anticipated timing of necessary regulatory approvals to commence work on remedial activities) for each of the next five years and thereafter were as follows (in thousands):</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Years ending December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2025</w:t>
            </w:r>
          </w:p>
        </w:tc>
        <w:tc>
          <w:tcPr>
            <w:tcW w:w="500" w:type="dxa"/>
            <w:vAlign w:val="bottom"/>
            <w:shd w:val="clear" w:color="auto" w:fill="E6E6E6"/>
          </w:tcPr>
          <w:p>
            <w:pPr>
              <w:jc w:val="right"/>
              <w:ind w:right="262"/>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10,321</w:t>
            </w:r>
          </w:p>
        </w:tc>
      </w:tr>
      <w:tr>
        <w:trPr>
          <w:trHeight w:val="275"/>
        </w:trPr>
        <w:tc>
          <w:tcPr>
            <w:tcW w:w="8520" w:type="dxa"/>
            <w:vAlign w:val="bottom"/>
          </w:tcPr>
          <w:p>
            <w:pPr>
              <w:ind w:left="60"/>
              <w:spacing w:after="0"/>
              <w:rPr>
                <w:sz w:val="20"/>
                <w:szCs w:val="20"/>
                <w:color w:val="auto"/>
              </w:rPr>
            </w:pPr>
            <w:r>
              <w:rPr>
                <w:rFonts w:ascii="Arial" w:cs="Arial" w:eastAsia="Arial" w:hAnsi="Arial"/>
                <w:sz w:val="20"/>
                <w:szCs w:val="20"/>
                <w:color w:val="auto"/>
              </w:rPr>
              <w:t>2026</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17,391</w:t>
            </w:r>
          </w:p>
        </w:tc>
      </w:tr>
      <w:tr>
        <w:trPr>
          <w:trHeight w:val="287"/>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2027</w:t>
            </w:r>
          </w:p>
        </w:tc>
        <w:tc>
          <w:tcPr>
            <w:tcW w:w="50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11,259</w:t>
            </w:r>
          </w:p>
        </w:tc>
      </w:tr>
      <w:tr>
        <w:trPr>
          <w:trHeight w:val="275"/>
        </w:trPr>
        <w:tc>
          <w:tcPr>
            <w:tcW w:w="8520" w:type="dxa"/>
            <w:vAlign w:val="bottom"/>
          </w:tcPr>
          <w:p>
            <w:pPr>
              <w:ind w:left="60"/>
              <w:spacing w:after="0"/>
              <w:rPr>
                <w:sz w:val="20"/>
                <w:szCs w:val="20"/>
                <w:color w:val="auto"/>
              </w:rPr>
            </w:pPr>
            <w:r>
              <w:rPr>
                <w:rFonts w:ascii="Arial" w:cs="Arial" w:eastAsia="Arial" w:hAnsi="Arial"/>
                <w:sz w:val="20"/>
                <w:szCs w:val="20"/>
                <w:color w:val="auto"/>
              </w:rPr>
              <w:t>2028</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10,972</w:t>
            </w:r>
          </w:p>
        </w:tc>
      </w:tr>
      <w:tr>
        <w:trPr>
          <w:trHeight w:val="287"/>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2029</w:t>
            </w:r>
          </w:p>
        </w:tc>
        <w:tc>
          <w:tcPr>
            <w:tcW w:w="50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8,745</w:t>
            </w:r>
          </w:p>
        </w:tc>
      </w:tr>
      <w:tr>
        <w:trPr>
          <w:trHeight w:val="271"/>
        </w:trPr>
        <w:tc>
          <w:tcPr>
            <w:tcW w:w="852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Thereafter</w:t>
            </w: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70,610</w:t>
            </w:r>
          </w:p>
        </w:tc>
      </w:tr>
      <w:tr>
        <w:trPr>
          <w:trHeight w:val="271"/>
        </w:trPr>
        <w:tc>
          <w:tcPr>
            <w:tcW w:w="8520" w:type="dxa"/>
            <w:vAlign w:val="bottom"/>
            <w:shd w:val="clear" w:color="auto" w:fill="E6E6E6"/>
          </w:tcPr>
          <w:p>
            <w:pPr>
              <w:ind w:left="60"/>
              <w:spacing w:after="0"/>
              <w:rPr>
                <w:sz w:val="20"/>
                <w:szCs w:val="20"/>
                <w:color w:val="auto"/>
              </w:rPr>
            </w:pPr>
            <w:r>
              <w:rPr>
                <w:rFonts w:ascii="Arial" w:cs="Arial" w:eastAsia="Arial" w:hAnsi="Arial"/>
                <w:sz w:val="20"/>
                <w:szCs w:val="20"/>
                <w:color w:val="auto"/>
              </w:rPr>
              <w:t>Undiscounted remedial liabilities</w:t>
            </w:r>
          </w:p>
        </w:tc>
        <w:tc>
          <w:tcPr>
            <w:tcW w:w="500" w:type="dxa"/>
            <w:vAlign w:val="bottom"/>
            <w:shd w:val="clear" w:color="auto" w:fill="E6E6E6"/>
          </w:tcPr>
          <w:p>
            <w:pPr>
              <w:spacing w:after="0"/>
              <w:rPr>
                <w:sz w:val="23"/>
                <w:szCs w:val="23"/>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129,298</w:t>
            </w:r>
          </w:p>
        </w:tc>
      </w:tr>
      <w:tr>
        <w:trPr>
          <w:trHeight w:val="271"/>
        </w:trPr>
        <w:tc>
          <w:tcPr>
            <w:tcW w:w="852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Less: Discount at risk free rates</w:t>
            </w: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(17,553)</w:t>
            </w:r>
          </w:p>
        </w:tc>
      </w:tr>
      <w:tr>
        <w:trPr>
          <w:trHeight w:val="280"/>
        </w:trPr>
        <w:tc>
          <w:tcPr>
            <w:tcW w:w="8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Total remedial liabilities</w:t>
            </w:r>
          </w:p>
        </w:tc>
        <w:tc>
          <w:tcPr>
            <w:tcW w:w="500" w:type="dxa"/>
            <w:vAlign w:val="bottom"/>
            <w:tcBorders>
              <w:bottom w:val="single" w:sz="8" w:color="auto"/>
            </w:tcBorders>
            <w:shd w:val="clear" w:color="auto" w:fill="E6E6E6"/>
          </w:tcPr>
          <w:p>
            <w:pPr>
              <w:jc w:val="right"/>
              <w:ind w:right="262"/>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111,745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5398770</wp:posOffset>
            </wp:positionH>
            <wp:positionV relativeFrom="paragraph">
              <wp:posOffset>-40640</wp:posOffset>
            </wp:positionV>
            <wp:extent cx="1023620" cy="45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3620" cy="45085"/>
                    </a:xfrm>
                    <a:prstGeom prst="rect">
                      <a:avLst/>
                    </a:prstGeom>
                    <a:noFill/>
                  </pic:spPr>
                </pic:pic>
              </a:graphicData>
            </a:graphic>
          </wp:anchor>
        </w:drawing>
      </w:r>
    </w:p>
    <w:p>
      <w:pPr>
        <w:sectPr>
          <w:pgSz w:w="11880" w:h="15480" w:orient="portrait"/>
          <w:cols w:equalWidth="0" w:num="1">
            <w:col w:w="10100"/>
          </w:cols>
          <w:pgMar w:left="880" w:top="3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880" w:h="15480" w:orient="portrait"/>
          <w:cols w:equalWidth="0" w:num="1">
            <w:col w:w="10100"/>
          </w:cols>
          <w:pgMar w:left="880" w:top="338" w:right="900" w:bottom="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80" w:firstLine="709"/>
        <w:spacing w:after="0" w:line="303" w:lineRule="auto"/>
        <w:rPr>
          <w:sz w:val="20"/>
          <w:szCs w:val="20"/>
          <w:color w:val="auto"/>
        </w:rPr>
      </w:pPr>
      <w:r>
        <w:rPr>
          <w:rFonts w:ascii="Arial" w:cs="Arial" w:eastAsia="Arial" w:hAnsi="Arial"/>
          <w:sz w:val="19"/>
          <w:szCs w:val="19"/>
          <w:color w:val="auto"/>
        </w:rPr>
        <w:t>The following table presents the Company's estimated remedial liabilities and reasonably possible additional liabilities as of December 31, 2024 disaggregated by facility/site type (in thousands, except percentages):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Reasonably</w:t>
            </w:r>
          </w:p>
        </w:tc>
        <w:tc>
          <w:tcPr>
            <w:tcW w:w="0" w:type="dxa"/>
            <w:vAlign w:val="bottom"/>
          </w:tcPr>
          <w:p>
            <w:pPr>
              <w:spacing w:after="0"/>
              <w:rPr>
                <w:sz w:val="1"/>
                <w:szCs w:val="1"/>
                <w:color w:val="auto"/>
              </w:rPr>
            </w:pPr>
          </w:p>
        </w:tc>
      </w:tr>
      <w:tr>
        <w:trPr>
          <w:trHeight w:val="177"/>
        </w:trPr>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ind w:right="105"/>
              <w:spacing w:after="0"/>
              <w:rPr>
                <w:sz w:val="20"/>
                <w:szCs w:val="20"/>
                <w:color w:val="auto"/>
              </w:rPr>
            </w:pPr>
            <w:r>
              <w:rPr>
                <w:rFonts w:ascii="Arial" w:cs="Arial" w:eastAsia="Arial" w:hAnsi="Arial"/>
                <w:sz w:val="18"/>
                <w:szCs w:val="18"/>
                <w:b w:val="1"/>
                <w:bCs w:val="1"/>
                <w:color w:val="auto"/>
                <w:w w:val="92"/>
              </w:rPr>
              <w:t>Remedial</w:t>
            </w: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45"/>
              <w:spacing w:after="0" w:line="177" w:lineRule="exact"/>
              <w:rPr>
                <w:sz w:val="20"/>
                <w:szCs w:val="20"/>
                <w:color w:val="auto"/>
              </w:rPr>
            </w:pPr>
            <w:r>
              <w:rPr>
                <w:rFonts w:ascii="Arial" w:cs="Arial" w:eastAsia="Arial" w:hAnsi="Arial"/>
                <w:sz w:val="18"/>
                <w:szCs w:val="18"/>
                <w:b w:val="1"/>
                <w:bCs w:val="1"/>
                <w:color w:val="auto"/>
                <w:w w:val="83"/>
              </w:rPr>
              <w:t>Possible</w:t>
            </w:r>
          </w:p>
        </w:tc>
        <w:tc>
          <w:tcPr>
            <w:tcW w:w="0" w:type="dxa"/>
            <w:vAlign w:val="bottom"/>
          </w:tcPr>
          <w:p>
            <w:pPr>
              <w:spacing w:after="0"/>
              <w:rPr>
                <w:sz w:val="1"/>
                <w:szCs w:val="1"/>
                <w:color w:val="auto"/>
              </w:rPr>
            </w:pPr>
          </w:p>
        </w:tc>
      </w:tr>
      <w:tr>
        <w:trPr>
          <w:trHeight w:val="177"/>
        </w:trPr>
        <w:tc>
          <w:tcPr>
            <w:tcW w:w="65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Type of Facility or Site</w:t>
            </w: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restart"/>
          </w:tcPr>
          <w:p>
            <w:pPr>
              <w:jc w:val="right"/>
              <w:ind w:right="66"/>
              <w:spacing w:after="0"/>
              <w:rPr>
                <w:sz w:val="20"/>
                <w:szCs w:val="20"/>
                <w:color w:val="auto"/>
              </w:rPr>
            </w:pPr>
            <w:r>
              <w:rPr>
                <w:rFonts w:ascii="Arial" w:cs="Arial" w:eastAsia="Arial" w:hAnsi="Arial"/>
                <w:sz w:val="18"/>
                <w:szCs w:val="18"/>
                <w:b w:val="1"/>
                <w:bCs w:val="1"/>
                <w:color w:val="auto"/>
              </w:rPr>
              <w:t>% of Total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45"/>
              <w:spacing w:after="0" w:line="177" w:lineRule="exact"/>
              <w:rPr>
                <w:sz w:val="20"/>
                <w:szCs w:val="20"/>
                <w:color w:val="auto"/>
              </w:rPr>
            </w:pPr>
            <w:r>
              <w:rPr>
                <w:rFonts w:ascii="Arial" w:cs="Arial" w:eastAsia="Arial" w:hAnsi="Arial"/>
                <w:sz w:val="18"/>
                <w:szCs w:val="18"/>
                <w:b w:val="1"/>
                <w:bCs w:val="1"/>
                <w:color w:val="auto"/>
                <w:w w:val="93"/>
              </w:rPr>
              <w:t>Additional</w:t>
            </w:r>
          </w:p>
        </w:tc>
        <w:tc>
          <w:tcPr>
            <w:tcW w:w="0" w:type="dxa"/>
            <w:vAlign w:val="bottom"/>
          </w:tcPr>
          <w:p>
            <w:pPr>
              <w:spacing w:after="0"/>
              <w:rPr>
                <w:sz w:val="1"/>
                <w:szCs w:val="1"/>
                <w:color w:val="auto"/>
              </w:rPr>
            </w:pPr>
          </w:p>
        </w:tc>
      </w:tr>
      <w:tr>
        <w:trPr>
          <w:trHeight w:val="245"/>
        </w:trPr>
        <w:tc>
          <w:tcPr>
            <w:tcW w:w="65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85"/>
              <w:spacing w:after="0"/>
              <w:rPr>
                <w:sz w:val="20"/>
                <w:szCs w:val="20"/>
                <w:color w:val="auto"/>
              </w:rPr>
            </w:pPr>
            <w:r>
              <w:rPr>
                <w:rFonts w:ascii="Arial" w:cs="Arial" w:eastAsia="Arial" w:hAnsi="Arial"/>
                <w:sz w:val="18"/>
                <w:szCs w:val="18"/>
                <w:b w:val="1"/>
                <w:bCs w:val="1"/>
                <w:color w:val="auto"/>
                <w:w w:val="91"/>
              </w:rPr>
              <w:t>Liabilities</w:t>
            </w:r>
          </w:p>
        </w:tc>
        <w:tc>
          <w:tcPr>
            <w:tcW w:w="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tcPr>
          <w:p>
            <w:pPr>
              <w:jc w:val="center"/>
              <w:spacing w:after="0" w:line="245" w:lineRule="exact"/>
              <w:rPr>
                <w:sz w:val="20"/>
                <w:szCs w:val="20"/>
                <w:color w:val="auto"/>
              </w:rPr>
            </w:pPr>
            <w:r>
              <w:rPr>
                <w:rFonts w:ascii="Arial" w:cs="Arial" w:eastAsia="Arial" w:hAnsi="Arial"/>
                <w:sz w:val="18"/>
                <w:szCs w:val="18"/>
                <w:b w:val="1"/>
                <w:bCs w:val="1"/>
                <w:color w:val="auto"/>
                <w:w w:val="87"/>
              </w:rPr>
              <w:t xml:space="preserve">Liabilities </w:t>
            </w:r>
            <w:r>
              <w:rPr>
                <w:rFonts w:ascii="Arial" w:cs="Arial" w:eastAsia="Arial" w:hAnsi="Arial"/>
                <w:sz w:val="23"/>
                <w:szCs w:val="23"/>
                <w:b w:val="1"/>
                <w:bCs w:val="1"/>
                <w:color w:val="auto"/>
                <w:w w:val="87"/>
                <w:vertAlign w:val="superscript"/>
              </w:rPr>
              <w:t>(1)</w:t>
            </w:r>
          </w:p>
        </w:tc>
        <w:tc>
          <w:tcPr>
            <w:tcW w:w="0" w:type="dxa"/>
            <w:vAlign w:val="bottom"/>
          </w:tcPr>
          <w:p>
            <w:pPr>
              <w:spacing w:after="0"/>
              <w:rPr>
                <w:sz w:val="1"/>
                <w:szCs w:val="1"/>
                <w:color w:val="auto"/>
              </w:rPr>
            </w:pPr>
          </w:p>
        </w:tc>
      </w:tr>
      <w:tr>
        <w:trPr>
          <w:trHeight w:val="189"/>
        </w:trPr>
        <w:tc>
          <w:tcPr>
            <w:tcW w:w="6560" w:type="dxa"/>
            <w:vAlign w:val="bottom"/>
            <w:shd w:val="clear" w:color="auto" w:fill="E6E6E6"/>
          </w:tcPr>
          <w:p>
            <w:pPr>
              <w:ind w:left="60"/>
              <w:spacing w:after="0" w:line="189" w:lineRule="exact"/>
              <w:rPr>
                <w:sz w:val="20"/>
                <w:szCs w:val="20"/>
                <w:color w:val="auto"/>
              </w:rPr>
            </w:pPr>
            <w:r>
              <w:rPr>
                <w:rFonts w:ascii="Arial" w:cs="Arial" w:eastAsia="Arial" w:hAnsi="Arial"/>
                <w:sz w:val="20"/>
                <w:szCs w:val="20"/>
                <w:color w:val="auto"/>
                <w:w w:val="92"/>
              </w:rPr>
              <w:t>Inactive facilities not used in active conduct of the Company's business, most of</w:t>
            </w:r>
          </w:p>
        </w:tc>
        <w:tc>
          <w:tcPr>
            <w:tcW w:w="1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56,976</w:t>
            </w:r>
          </w:p>
        </w:tc>
        <w:tc>
          <w:tcPr>
            <w:tcW w:w="120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51.0 %</w:t>
            </w:r>
          </w:p>
        </w:tc>
        <w:tc>
          <w:tcPr>
            <w:tcW w:w="22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10,765</w:t>
            </w:r>
          </w:p>
        </w:tc>
        <w:tc>
          <w:tcPr>
            <w:tcW w:w="0" w:type="dxa"/>
            <w:vAlign w:val="bottom"/>
          </w:tcPr>
          <w:p>
            <w:pPr>
              <w:spacing w:after="0"/>
              <w:rPr>
                <w:sz w:val="1"/>
                <w:szCs w:val="1"/>
                <w:color w:val="auto"/>
              </w:rPr>
            </w:pPr>
          </w:p>
        </w:tc>
      </w:tr>
      <w:tr>
        <w:trPr>
          <w:trHeight w:val="269"/>
        </w:trPr>
        <w:tc>
          <w:tcPr>
            <w:tcW w:w="6560" w:type="dxa"/>
            <w:vAlign w:val="bottom"/>
            <w:shd w:val="clear" w:color="auto" w:fill="E6E6E6"/>
          </w:tcPr>
          <w:p>
            <w:pPr>
              <w:ind w:left="60"/>
              <w:spacing w:after="0"/>
              <w:rPr>
                <w:sz w:val="20"/>
                <w:szCs w:val="20"/>
                <w:color w:val="auto"/>
              </w:rPr>
            </w:pPr>
            <w:r>
              <w:rPr>
                <w:rFonts w:ascii="Arial" w:cs="Arial" w:eastAsia="Arial" w:hAnsi="Arial"/>
                <w:sz w:val="20"/>
                <w:szCs w:val="20"/>
                <w:color w:val="auto"/>
              </w:rPr>
              <w:t>which were assumed through prior period acquisitions (25 facilities)</w:t>
            </w:r>
          </w:p>
        </w:tc>
        <w:tc>
          <w:tcPr>
            <w:tcW w:w="160" w:type="dxa"/>
            <w:vAlign w:val="bottom"/>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1200" w:type="dxa"/>
            <w:vAlign w:val="bottom"/>
            <w:gridSpan w:val="2"/>
            <w:vMerge w:val="continue"/>
            <w:shd w:val="clear" w:color="auto" w:fill="E6E6E6"/>
          </w:tcPr>
          <w:p>
            <w:pPr>
              <w:spacing w:after="0"/>
              <w:rPr>
                <w:sz w:val="23"/>
                <w:szCs w:val="23"/>
                <w:color w:val="auto"/>
              </w:rPr>
            </w:pPr>
          </w:p>
        </w:tc>
        <w:tc>
          <w:tcPr>
            <w:tcW w:w="220" w:type="dxa"/>
            <w:vAlign w:val="bottom"/>
            <w:gridSpan w:val="2"/>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60"/>
              <w:spacing w:after="0" w:line="189" w:lineRule="exact"/>
              <w:rPr>
                <w:sz w:val="20"/>
                <w:szCs w:val="20"/>
                <w:color w:val="auto"/>
              </w:rPr>
            </w:pPr>
            <w:r>
              <w:rPr>
                <w:rFonts w:ascii="Arial" w:cs="Arial" w:eastAsia="Arial" w:hAnsi="Arial"/>
                <w:sz w:val="20"/>
                <w:szCs w:val="20"/>
                <w:color w:val="auto"/>
                <w:w w:val="94"/>
              </w:rPr>
              <w:t>Facilities now used in active conduct of the Company's business (62 facilities,</w:t>
            </w: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46,131</w:t>
            </w:r>
          </w:p>
        </w:tc>
        <w:tc>
          <w:tcPr>
            <w:tcW w:w="1200" w:type="dxa"/>
            <w:vAlign w:val="bottom"/>
            <w:gridSpan w:val="2"/>
            <w:vMerge w:val="restart"/>
          </w:tcPr>
          <w:p>
            <w:pPr>
              <w:jc w:val="right"/>
              <w:ind w:right="166"/>
              <w:spacing w:after="0"/>
              <w:rPr>
                <w:sz w:val="20"/>
                <w:szCs w:val="20"/>
                <w:color w:val="auto"/>
              </w:rPr>
            </w:pPr>
            <w:r>
              <w:rPr>
                <w:rFonts w:ascii="Arial" w:cs="Arial" w:eastAsia="Arial" w:hAnsi="Arial"/>
                <w:sz w:val="20"/>
                <w:szCs w:val="20"/>
                <w:color w:val="auto"/>
              </w:rPr>
              <w:t>41.3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9,497</w:t>
            </w:r>
          </w:p>
        </w:tc>
        <w:tc>
          <w:tcPr>
            <w:tcW w:w="0" w:type="dxa"/>
            <w:vAlign w:val="bottom"/>
          </w:tcPr>
          <w:p>
            <w:pPr>
              <w:spacing w:after="0"/>
              <w:rPr>
                <w:sz w:val="1"/>
                <w:szCs w:val="1"/>
                <w:color w:val="auto"/>
              </w:rPr>
            </w:pPr>
          </w:p>
        </w:tc>
      </w:tr>
      <w:tr>
        <w:trPr>
          <w:trHeight w:val="264"/>
        </w:trPr>
        <w:tc>
          <w:tcPr>
            <w:tcW w:w="6560" w:type="dxa"/>
            <w:vAlign w:val="bottom"/>
          </w:tcPr>
          <w:p>
            <w:pPr>
              <w:ind w:left="60"/>
              <w:spacing w:after="0"/>
              <w:rPr>
                <w:sz w:val="20"/>
                <w:szCs w:val="20"/>
                <w:color w:val="auto"/>
              </w:rPr>
            </w:pPr>
            <w:r>
              <w:rPr>
                <w:rFonts w:ascii="Arial" w:cs="Arial" w:eastAsia="Arial" w:hAnsi="Arial"/>
                <w:sz w:val="20"/>
                <w:szCs w:val="20"/>
                <w:color w:val="auto"/>
              </w:rPr>
              <w:t>including 24 acquired by the Company through acquisitions in 2024)</w:t>
            </w:r>
          </w:p>
        </w:tc>
        <w:tc>
          <w:tcPr>
            <w:tcW w:w="1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65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Superfund sites (12 sites)</w:t>
            </w:r>
          </w:p>
        </w:tc>
        <w:tc>
          <w:tcPr>
            <w:tcW w:w="16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8,638</w:t>
            </w:r>
          </w:p>
        </w:tc>
        <w:tc>
          <w:tcPr>
            <w:tcW w:w="60" w:type="dxa"/>
            <w:vAlign w:val="bottom"/>
            <w:tcBorders>
              <w:bottom w:val="single" w:sz="8" w:color="E6E6E6"/>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ind w:right="166"/>
              <w:spacing w:after="0"/>
              <w:rPr>
                <w:sz w:val="20"/>
                <w:szCs w:val="20"/>
                <w:color w:val="auto"/>
              </w:rPr>
            </w:pPr>
            <w:r>
              <w:rPr>
                <w:rFonts w:ascii="Arial" w:cs="Arial" w:eastAsia="Arial" w:hAnsi="Arial"/>
                <w:sz w:val="20"/>
                <w:szCs w:val="20"/>
                <w:color w:val="auto"/>
              </w:rPr>
              <w:t>7.7</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1,296</w:t>
            </w:r>
          </w:p>
        </w:tc>
        <w:tc>
          <w:tcPr>
            <w:tcW w:w="0" w:type="dxa"/>
            <w:vAlign w:val="bottom"/>
          </w:tcPr>
          <w:p>
            <w:pPr>
              <w:spacing w:after="0"/>
              <w:rPr>
                <w:sz w:val="1"/>
                <w:szCs w:val="1"/>
                <w:color w:val="auto"/>
              </w:rPr>
            </w:pPr>
          </w:p>
        </w:tc>
      </w:tr>
      <w:tr>
        <w:trPr>
          <w:trHeight w:val="222"/>
        </w:trPr>
        <w:tc>
          <w:tcPr>
            <w:tcW w:w="6560" w:type="dxa"/>
            <w:vAlign w:val="bottom"/>
          </w:tcPr>
          <w:p>
            <w:pPr>
              <w:ind w:left="60"/>
              <w:spacing w:after="0" w:line="222" w:lineRule="exact"/>
              <w:rPr>
                <w:sz w:val="20"/>
                <w:szCs w:val="20"/>
                <w:color w:val="auto"/>
              </w:rPr>
            </w:pPr>
            <w:r>
              <w:rPr>
                <w:rFonts w:ascii="Arial" w:cs="Arial" w:eastAsia="Arial" w:hAnsi="Arial"/>
                <w:sz w:val="20"/>
                <w:szCs w:val="20"/>
                <w:color w:val="auto"/>
              </w:rPr>
              <w:t>Total</w:t>
            </w:r>
          </w:p>
        </w:tc>
        <w:tc>
          <w:tcPr>
            <w:tcW w:w="160" w:type="dxa"/>
            <w:vAlign w:val="bottom"/>
          </w:tcPr>
          <w:p>
            <w:pPr>
              <w:jc w:val="right"/>
              <w:spacing w:after="0" w:line="222" w:lineRule="exact"/>
              <w:rPr>
                <w:sz w:val="20"/>
                <w:szCs w:val="20"/>
                <w:color w:val="auto"/>
              </w:rPr>
            </w:pPr>
            <w:r>
              <w:rPr>
                <w:rFonts w:ascii="Arial" w:cs="Arial" w:eastAsia="Arial" w:hAnsi="Arial"/>
                <w:sz w:val="20"/>
                <w:szCs w:val="20"/>
                <w:color w:val="auto"/>
              </w:rPr>
              <w:t>$</w:t>
            </w:r>
          </w:p>
        </w:tc>
        <w:tc>
          <w:tcPr>
            <w:tcW w:w="960" w:type="dxa"/>
            <w:vAlign w:val="bottom"/>
          </w:tcPr>
          <w:p>
            <w:pPr>
              <w:jc w:val="right"/>
              <w:spacing w:after="0" w:line="222" w:lineRule="exact"/>
              <w:rPr>
                <w:sz w:val="20"/>
                <w:szCs w:val="20"/>
                <w:color w:val="auto"/>
              </w:rPr>
            </w:pPr>
            <w:r>
              <w:rPr>
                <w:rFonts w:ascii="Arial" w:cs="Arial" w:eastAsia="Arial" w:hAnsi="Arial"/>
                <w:sz w:val="20"/>
                <w:szCs w:val="20"/>
                <w:color w:val="auto"/>
              </w:rPr>
              <w:t>111,745</w:t>
            </w:r>
          </w:p>
        </w:tc>
        <w:tc>
          <w:tcPr>
            <w:tcW w:w="12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100.0 %</w:t>
            </w:r>
          </w:p>
        </w:tc>
        <w:tc>
          <w:tcPr>
            <w:tcW w:w="2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w:t>
            </w:r>
          </w:p>
        </w:tc>
        <w:tc>
          <w:tcPr>
            <w:tcW w:w="960" w:type="dxa"/>
            <w:vAlign w:val="bottom"/>
          </w:tcPr>
          <w:p>
            <w:pPr>
              <w:jc w:val="right"/>
              <w:spacing w:after="0" w:line="222" w:lineRule="exact"/>
              <w:rPr>
                <w:sz w:val="20"/>
                <w:szCs w:val="20"/>
                <w:color w:val="auto"/>
              </w:rPr>
            </w:pPr>
            <w:r>
              <w:rPr>
                <w:rFonts w:ascii="Arial" w:cs="Arial" w:eastAsia="Arial" w:hAnsi="Arial"/>
                <w:sz w:val="20"/>
                <w:szCs w:val="20"/>
                <w:color w:val="auto"/>
              </w:rPr>
              <w:t>21,558</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4147820</wp:posOffset>
            </wp:positionH>
            <wp:positionV relativeFrom="paragraph">
              <wp:posOffset>-198120</wp:posOffset>
            </wp:positionV>
            <wp:extent cx="2258060"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58060" cy="50165"/>
                    </a:xfrm>
                    <a:prstGeom prst="rect">
                      <a:avLst/>
                    </a:prstGeom>
                    <a:noFill/>
                  </pic:spPr>
                </pic:pic>
              </a:graphicData>
            </a:graphic>
          </wp:anchor>
        </w:drawing>
      </w:r>
    </w:p>
    <w:p>
      <w:pPr>
        <w:ind w:left="720" w:right="520" w:hanging="358"/>
        <w:spacing w:after="0" w:line="276"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Amounts represent the high end of the range of management's best estimate of the reasonably possible additional liabilities.</w:t>
      </w:r>
    </w:p>
    <w:p>
      <w:pPr>
        <w:spacing w:after="0" w:line="101" w:lineRule="exact"/>
        <w:rPr>
          <w:sz w:val="20"/>
          <w:szCs w:val="20"/>
          <w:color w:val="auto"/>
        </w:rPr>
      </w:pPr>
    </w:p>
    <w:p>
      <w:pPr>
        <w:ind w:right="80" w:firstLine="709"/>
        <w:spacing w:after="0" w:line="261" w:lineRule="auto"/>
        <w:rPr>
          <w:sz w:val="20"/>
          <w:szCs w:val="20"/>
          <w:color w:val="auto"/>
        </w:rPr>
      </w:pPr>
      <w:r>
        <w:rPr>
          <w:rFonts w:ascii="Arial" w:cs="Arial" w:eastAsia="Arial" w:hAnsi="Arial"/>
          <w:sz w:val="20"/>
          <w:szCs w:val="20"/>
          <w:color w:val="auto"/>
        </w:rPr>
        <w:t>The following table presents the Company's estimated remedial liabilities and reasonably possible additional liabilities as of December 31, 2024 disaggregated by facilities/sites which represent at least 5% of the total and with all other facilities/ sites combined (in thousands, except percentages):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65"/>
              <w:spacing w:after="0"/>
              <w:rPr>
                <w:sz w:val="20"/>
                <w:szCs w:val="20"/>
                <w:color w:val="auto"/>
              </w:rPr>
            </w:pPr>
            <w:r>
              <w:rPr>
                <w:rFonts w:ascii="Arial" w:cs="Arial" w:eastAsia="Arial" w:hAnsi="Arial"/>
                <w:sz w:val="18"/>
                <w:szCs w:val="18"/>
                <w:b w:val="1"/>
                <w:bCs w:val="1"/>
                <w:color w:val="auto"/>
                <w:w w:val="87"/>
              </w:rPr>
              <w:t>Reasonably</w:t>
            </w:r>
          </w:p>
        </w:tc>
        <w:tc>
          <w:tcPr>
            <w:tcW w:w="0" w:type="dxa"/>
            <w:vAlign w:val="bottom"/>
          </w:tcPr>
          <w:p>
            <w:pPr>
              <w:spacing w:after="0"/>
              <w:rPr>
                <w:sz w:val="1"/>
                <w:szCs w:val="1"/>
                <w:color w:val="auto"/>
              </w:rPr>
            </w:pPr>
          </w:p>
        </w:tc>
      </w:tr>
      <w:tr>
        <w:trPr>
          <w:trHeight w:val="177"/>
        </w:trPr>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Arial" w:cs="Arial" w:eastAsia="Arial" w:hAnsi="Arial"/>
                <w:sz w:val="18"/>
                <w:szCs w:val="18"/>
                <w:b w:val="1"/>
                <w:bCs w:val="1"/>
                <w:color w:val="auto"/>
                <w:w w:val="97"/>
              </w:rPr>
              <w:t>Remedial</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65"/>
              <w:spacing w:after="0" w:line="177" w:lineRule="exact"/>
              <w:rPr>
                <w:sz w:val="20"/>
                <w:szCs w:val="20"/>
                <w:color w:val="auto"/>
              </w:rPr>
            </w:pPr>
            <w:r>
              <w:rPr>
                <w:rFonts w:ascii="Arial" w:cs="Arial" w:eastAsia="Arial" w:hAnsi="Arial"/>
                <w:sz w:val="18"/>
                <w:szCs w:val="18"/>
                <w:b w:val="1"/>
                <w:bCs w:val="1"/>
                <w:color w:val="auto"/>
                <w:w w:val="80"/>
              </w:rPr>
              <w:t>Possible</w:t>
            </w:r>
          </w:p>
        </w:tc>
        <w:tc>
          <w:tcPr>
            <w:tcW w:w="0" w:type="dxa"/>
            <w:vAlign w:val="bottom"/>
          </w:tcPr>
          <w:p>
            <w:pPr>
              <w:spacing w:after="0"/>
              <w:rPr>
                <w:sz w:val="1"/>
                <w:szCs w:val="1"/>
                <w:color w:val="auto"/>
              </w:rPr>
            </w:pPr>
          </w:p>
        </w:tc>
      </w:tr>
      <w:tr>
        <w:trPr>
          <w:trHeight w:val="177"/>
        </w:trPr>
        <w:tc>
          <w:tcPr>
            <w:tcW w:w="18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Location</w:t>
            </w:r>
          </w:p>
        </w:tc>
        <w:tc>
          <w:tcPr>
            <w:tcW w:w="80" w:type="dxa"/>
            <w:vAlign w:val="bottom"/>
          </w:tcPr>
          <w:p>
            <w:pPr>
              <w:spacing w:after="0"/>
              <w:rPr>
                <w:sz w:val="15"/>
                <w:szCs w:val="15"/>
                <w:color w:val="auto"/>
              </w:rPr>
            </w:pPr>
          </w:p>
        </w:tc>
        <w:tc>
          <w:tcPr>
            <w:tcW w:w="4380" w:type="dxa"/>
            <w:vAlign w:val="bottom"/>
            <w:vMerge w:val="restart"/>
          </w:tcPr>
          <w:p>
            <w:pPr>
              <w:ind w:left="1320"/>
              <w:spacing w:after="0"/>
              <w:rPr>
                <w:sz w:val="20"/>
                <w:szCs w:val="20"/>
                <w:color w:val="auto"/>
              </w:rPr>
            </w:pPr>
            <w:r>
              <w:rPr>
                <w:rFonts w:ascii="Arial" w:cs="Arial" w:eastAsia="Arial" w:hAnsi="Arial"/>
                <w:sz w:val="18"/>
                <w:szCs w:val="18"/>
                <w:b w:val="1"/>
                <w:bCs w:val="1"/>
                <w:color w:val="auto"/>
              </w:rPr>
              <w:t>Type of Facility or Site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 of Total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65"/>
              <w:spacing w:after="0" w:line="177" w:lineRule="exact"/>
              <w:rPr>
                <w:sz w:val="20"/>
                <w:szCs w:val="20"/>
                <w:color w:val="auto"/>
              </w:rPr>
            </w:pPr>
            <w:r>
              <w:rPr>
                <w:rFonts w:ascii="Arial" w:cs="Arial" w:eastAsia="Arial" w:hAnsi="Arial"/>
                <w:sz w:val="18"/>
                <w:szCs w:val="18"/>
                <w:b w:val="1"/>
                <w:bCs w:val="1"/>
                <w:color w:val="auto"/>
                <w:w w:val="90"/>
              </w:rPr>
              <w:t>Additional</w:t>
            </w:r>
          </w:p>
        </w:tc>
        <w:tc>
          <w:tcPr>
            <w:tcW w:w="0" w:type="dxa"/>
            <w:vAlign w:val="bottom"/>
          </w:tcPr>
          <w:p>
            <w:pPr>
              <w:spacing w:after="0"/>
              <w:rPr>
                <w:sz w:val="1"/>
                <w:szCs w:val="1"/>
                <w:color w:val="auto"/>
              </w:rPr>
            </w:pPr>
          </w:p>
        </w:tc>
      </w:tr>
      <w:tr>
        <w:trPr>
          <w:trHeight w:val="235"/>
        </w:trPr>
        <w:tc>
          <w:tcPr>
            <w:tcW w:w="18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43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
              <w:spacing w:after="0" w:line="235" w:lineRule="exact"/>
              <w:rPr>
                <w:sz w:val="20"/>
                <w:szCs w:val="20"/>
                <w:color w:val="auto"/>
              </w:rPr>
            </w:pPr>
            <w:r>
              <w:rPr>
                <w:rFonts w:ascii="Arial" w:cs="Arial" w:eastAsia="Arial" w:hAnsi="Arial"/>
                <w:sz w:val="18"/>
                <w:szCs w:val="18"/>
                <w:b w:val="1"/>
                <w:bCs w:val="1"/>
                <w:color w:val="auto"/>
                <w:w w:val="86"/>
              </w:rPr>
              <w:t>Liabilities</w:t>
            </w:r>
            <w:r>
              <w:rPr>
                <w:rFonts w:ascii="Arial" w:cs="Arial" w:eastAsia="Arial" w:hAnsi="Arial"/>
                <w:sz w:val="23"/>
                <w:szCs w:val="23"/>
                <w:b w:val="1"/>
                <w:bCs w:val="1"/>
                <w:color w:val="auto"/>
                <w:w w:val="86"/>
                <w:vertAlign w:val="superscript"/>
              </w:rPr>
              <w:t>(1)</w:t>
            </w:r>
          </w:p>
        </w:tc>
        <w:tc>
          <w:tcPr>
            <w:tcW w:w="80" w:type="dxa"/>
            <w:vAlign w:val="bottom"/>
            <w:tcBorders>
              <w:bottom w:val="single" w:sz="8" w:color="E6E6E6"/>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65"/>
              <w:spacing w:after="0" w:line="235" w:lineRule="exact"/>
              <w:rPr>
                <w:sz w:val="20"/>
                <w:szCs w:val="20"/>
                <w:color w:val="auto"/>
              </w:rPr>
            </w:pPr>
            <w:r>
              <w:rPr>
                <w:rFonts w:ascii="Arial" w:cs="Arial" w:eastAsia="Arial" w:hAnsi="Arial"/>
                <w:sz w:val="18"/>
                <w:szCs w:val="18"/>
                <w:b w:val="1"/>
                <w:bCs w:val="1"/>
                <w:color w:val="auto"/>
                <w:w w:val="86"/>
              </w:rPr>
              <w:t>Liabilities</w:t>
            </w:r>
            <w:r>
              <w:rPr>
                <w:rFonts w:ascii="Arial" w:cs="Arial" w:eastAsia="Arial" w:hAnsi="Arial"/>
                <w:sz w:val="23"/>
                <w:szCs w:val="23"/>
                <w:b w:val="1"/>
                <w:bCs w:val="1"/>
                <w:color w:val="auto"/>
                <w:w w:val="86"/>
                <w:vertAlign w:val="superscript"/>
              </w:rPr>
              <w:t>(2)</w:t>
            </w:r>
          </w:p>
        </w:tc>
        <w:tc>
          <w:tcPr>
            <w:tcW w:w="0" w:type="dxa"/>
            <w:vAlign w:val="bottom"/>
          </w:tcPr>
          <w:p>
            <w:pPr>
              <w:spacing w:after="0"/>
              <w:rPr>
                <w:sz w:val="1"/>
                <w:szCs w:val="1"/>
                <w:color w:val="auto"/>
              </w:rPr>
            </w:pPr>
          </w:p>
        </w:tc>
      </w:tr>
      <w:tr>
        <w:trPr>
          <w:trHeight w:val="271"/>
        </w:trPr>
        <w:tc>
          <w:tcPr>
            <w:tcW w:w="1820" w:type="dxa"/>
            <w:vAlign w:val="bottom"/>
            <w:shd w:val="clear" w:color="auto" w:fill="E6E6E6"/>
          </w:tcPr>
          <w:p>
            <w:pPr>
              <w:ind w:left="60"/>
              <w:spacing w:after="0"/>
              <w:rPr>
                <w:sz w:val="20"/>
                <w:szCs w:val="20"/>
                <w:color w:val="auto"/>
              </w:rPr>
            </w:pPr>
            <w:r>
              <w:rPr>
                <w:rFonts w:ascii="Arial" w:cs="Arial" w:eastAsia="Arial" w:hAnsi="Arial"/>
                <w:sz w:val="20"/>
                <w:szCs w:val="20"/>
                <w:color w:val="auto"/>
              </w:rPr>
              <w:t>Baton Rouge, LA</w:t>
            </w:r>
          </w:p>
        </w:tc>
        <w:tc>
          <w:tcPr>
            <w:tcW w:w="80" w:type="dxa"/>
            <w:vAlign w:val="bottom"/>
            <w:shd w:val="clear" w:color="auto" w:fill="E6E6E6"/>
          </w:tcPr>
          <w:p>
            <w:pPr>
              <w:spacing w:after="0"/>
              <w:rPr>
                <w:sz w:val="23"/>
                <w:szCs w:val="23"/>
                <w:color w:val="auto"/>
              </w:rPr>
            </w:pPr>
          </w:p>
        </w:tc>
        <w:tc>
          <w:tcPr>
            <w:tcW w:w="4380" w:type="dxa"/>
            <w:vAlign w:val="bottom"/>
            <w:shd w:val="clear" w:color="auto" w:fill="E6E6E6"/>
          </w:tcPr>
          <w:p>
            <w:pPr>
              <w:ind w:left="60"/>
              <w:spacing w:after="0"/>
              <w:rPr>
                <w:sz w:val="20"/>
                <w:szCs w:val="20"/>
                <w:color w:val="auto"/>
              </w:rPr>
            </w:pPr>
            <w:r>
              <w:rPr>
                <w:rFonts w:ascii="Arial" w:cs="Arial" w:eastAsia="Arial" w:hAnsi="Arial"/>
                <w:sz w:val="20"/>
                <w:szCs w:val="20"/>
                <w:color w:val="auto"/>
              </w:rPr>
              <w:t>Closed incinerator and landfill</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25,578</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22.9 %</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4,303</w:t>
            </w:r>
          </w:p>
        </w:tc>
        <w:tc>
          <w:tcPr>
            <w:tcW w:w="0" w:type="dxa"/>
            <w:vAlign w:val="bottom"/>
          </w:tcPr>
          <w:p>
            <w:pPr>
              <w:spacing w:after="0"/>
              <w:rPr>
                <w:sz w:val="1"/>
                <w:szCs w:val="1"/>
                <w:color w:val="auto"/>
              </w:rPr>
            </w:pPr>
          </w:p>
        </w:tc>
      </w:tr>
      <w:tr>
        <w:trPr>
          <w:trHeight w:val="275"/>
        </w:trPr>
        <w:tc>
          <w:tcPr>
            <w:tcW w:w="1820" w:type="dxa"/>
            <w:vAlign w:val="bottom"/>
          </w:tcPr>
          <w:p>
            <w:pPr>
              <w:ind w:left="60"/>
              <w:spacing w:after="0"/>
              <w:rPr>
                <w:sz w:val="20"/>
                <w:szCs w:val="20"/>
                <w:color w:val="auto"/>
              </w:rPr>
            </w:pPr>
            <w:r>
              <w:rPr>
                <w:rFonts w:ascii="Arial" w:cs="Arial" w:eastAsia="Arial" w:hAnsi="Arial"/>
                <w:sz w:val="20"/>
                <w:szCs w:val="20"/>
                <w:color w:val="auto"/>
              </w:rPr>
              <w:t>Bridgeport, NJ</w:t>
            </w:r>
          </w:p>
        </w:tc>
        <w:tc>
          <w:tcPr>
            <w:tcW w:w="80" w:type="dxa"/>
            <w:vAlign w:val="bottom"/>
          </w:tcPr>
          <w:p>
            <w:pPr>
              <w:spacing w:after="0"/>
              <w:rPr>
                <w:sz w:val="23"/>
                <w:szCs w:val="23"/>
                <w:color w:val="auto"/>
              </w:rPr>
            </w:pPr>
          </w:p>
        </w:tc>
        <w:tc>
          <w:tcPr>
            <w:tcW w:w="4380" w:type="dxa"/>
            <w:vAlign w:val="bottom"/>
          </w:tcPr>
          <w:p>
            <w:pPr>
              <w:ind w:left="60"/>
              <w:spacing w:after="0"/>
              <w:rPr>
                <w:sz w:val="20"/>
                <w:szCs w:val="20"/>
                <w:color w:val="auto"/>
              </w:rPr>
            </w:pPr>
            <w:r>
              <w:rPr>
                <w:rFonts w:ascii="Arial" w:cs="Arial" w:eastAsia="Arial" w:hAnsi="Arial"/>
                <w:sz w:val="20"/>
                <w:szCs w:val="20"/>
                <w:color w:val="auto"/>
              </w:rPr>
              <w:t>Closed incinerator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17,417</w:t>
            </w:r>
          </w:p>
        </w:tc>
        <w:tc>
          <w:tcPr>
            <w:tcW w:w="1280" w:type="dxa"/>
            <w:vAlign w:val="bottom"/>
            <w:gridSpan w:val="2"/>
          </w:tcPr>
          <w:p>
            <w:pPr>
              <w:jc w:val="right"/>
              <w:ind w:right="171"/>
              <w:spacing w:after="0"/>
              <w:rPr>
                <w:sz w:val="20"/>
                <w:szCs w:val="20"/>
                <w:color w:val="auto"/>
              </w:rPr>
            </w:pPr>
            <w:r>
              <w:rPr>
                <w:rFonts w:ascii="Arial" w:cs="Arial" w:eastAsia="Arial" w:hAnsi="Arial"/>
                <w:sz w:val="20"/>
                <w:szCs w:val="20"/>
                <w:color w:val="auto"/>
              </w:rPr>
              <w:t>15.6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3,254</w:t>
            </w:r>
          </w:p>
        </w:tc>
        <w:tc>
          <w:tcPr>
            <w:tcW w:w="0" w:type="dxa"/>
            <w:vAlign w:val="bottom"/>
          </w:tcPr>
          <w:p>
            <w:pPr>
              <w:spacing w:after="0"/>
              <w:rPr>
                <w:sz w:val="1"/>
                <w:szCs w:val="1"/>
                <w:color w:val="auto"/>
              </w:rPr>
            </w:pPr>
          </w:p>
        </w:tc>
      </w:tr>
      <w:tr>
        <w:trPr>
          <w:trHeight w:val="287"/>
        </w:trPr>
        <w:tc>
          <w:tcPr>
            <w:tcW w:w="1820" w:type="dxa"/>
            <w:vAlign w:val="bottom"/>
            <w:shd w:val="clear" w:color="auto" w:fill="E6E6E6"/>
          </w:tcPr>
          <w:p>
            <w:pPr>
              <w:ind w:left="60"/>
              <w:spacing w:after="0"/>
              <w:rPr>
                <w:sz w:val="20"/>
                <w:szCs w:val="20"/>
                <w:color w:val="auto"/>
              </w:rPr>
            </w:pPr>
            <w:r>
              <w:rPr>
                <w:rFonts w:ascii="Arial" w:cs="Arial" w:eastAsia="Arial" w:hAnsi="Arial"/>
                <w:sz w:val="20"/>
                <w:szCs w:val="20"/>
                <w:color w:val="auto"/>
              </w:rPr>
              <w:t>Mercier, Quebec</w:t>
            </w:r>
          </w:p>
        </w:tc>
        <w:tc>
          <w:tcPr>
            <w:tcW w:w="80" w:type="dxa"/>
            <w:vAlign w:val="bottom"/>
            <w:shd w:val="clear" w:color="auto" w:fill="E6E6E6"/>
          </w:tcPr>
          <w:p>
            <w:pPr>
              <w:spacing w:after="0"/>
              <w:rPr>
                <w:sz w:val="24"/>
                <w:szCs w:val="24"/>
                <w:color w:val="auto"/>
              </w:rPr>
            </w:pPr>
          </w:p>
        </w:tc>
        <w:tc>
          <w:tcPr>
            <w:tcW w:w="4380" w:type="dxa"/>
            <w:vAlign w:val="bottom"/>
            <w:shd w:val="clear" w:color="auto" w:fill="E6E6E6"/>
          </w:tcPr>
          <w:p>
            <w:pPr>
              <w:ind w:left="60"/>
              <w:spacing w:after="0"/>
              <w:rPr>
                <w:sz w:val="20"/>
                <w:szCs w:val="20"/>
                <w:color w:val="auto"/>
              </w:rPr>
            </w:pPr>
            <w:r>
              <w:rPr>
                <w:rFonts w:ascii="Arial" w:cs="Arial" w:eastAsia="Arial" w:hAnsi="Arial"/>
                <w:sz w:val="20"/>
                <w:szCs w:val="20"/>
                <w:color w:val="auto"/>
              </w:rPr>
              <w:t>Idled incinerator</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10,826</w:t>
            </w:r>
          </w:p>
        </w:tc>
        <w:tc>
          <w:tcPr>
            <w:tcW w:w="1280" w:type="dxa"/>
            <w:vAlign w:val="bottom"/>
            <w:gridSpan w:val="2"/>
            <w:shd w:val="clear" w:color="auto" w:fill="E6E6E6"/>
          </w:tcPr>
          <w:p>
            <w:pPr>
              <w:jc w:val="right"/>
              <w:ind w:right="171"/>
              <w:spacing w:after="0"/>
              <w:rPr>
                <w:sz w:val="20"/>
                <w:szCs w:val="20"/>
                <w:color w:val="auto"/>
              </w:rPr>
            </w:pPr>
            <w:r>
              <w:rPr>
                <w:rFonts w:ascii="Arial" w:cs="Arial" w:eastAsia="Arial" w:hAnsi="Arial"/>
                <w:sz w:val="20"/>
                <w:szCs w:val="20"/>
                <w:color w:val="auto"/>
              </w:rPr>
              <w:t>9.7</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1,631</w:t>
            </w:r>
          </w:p>
        </w:tc>
        <w:tc>
          <w:tcPr>
            <w:tcW w:w="0" w:type="dxa"/>
            <w:vAlign w:val="bottom"/>
          </w:tcPr>
          <w:p>
            <w:pPr>
              <w:spacing w:after="0"/>
              <w:rPr>
                <w:sz w:val="1"/>
                <w:szCs w:val="1"/>
                <w:color w:val="auto"/>
              </w:rPr>
            </w:pPr>
          </w:p>
        </w:tc>
      </w:tr>
      <w:tr>
        <w:trPr>
          <w:trHeight w:val="275"/>
        </w:trPr>
        <w:tc>
          <w:tcPr>
            <w:tcW w:w="1820" w:type="dxa"/>
            <w:vAlign w:val="bottom"/>
          </w:tcPr>
          <w:p>
            <w:pPr>
              <w:ind w:left="60"/>
              <w:spacing w:after="0"/>
              <w:rPr>
                <w:sz w:val="20"/>
                <w:szCs w:val="20"/>
                <w:color w:val="auto"/>
              </w:rPr>
            </w:pPr>
            <w:r>
              <w:rPr>
                <w:rFonts w:ascii="Arial" w:cs="Arial" w:eastAsia="Arial" w:hAnsi="Arial"/>
                <w:sz w:val="20"/>
                <w:szCs w:val="20"/>
                <w:color w:val="auto"/>
              </w:rPr>
              <w:t>Linden, NJ</w:t>
            </w:r>
          </w:p>
        </w:tc>
        <w:tc>
          <w:tcPr>
            <w:tcW w:w="80" w:type="dxa"/>
            <w:vAlign w:val="bottom"/>
          </w:tcPr>
          <w:p>
            <w:pPr>
              <w:spacing w:after="0"/>
              <w:rPr>
                <w:sz w:val="23"/>
                <w:szCs w:val="23"/>
                <w:color w:val="auto"/>
              </w:rPr>
            </w:pPr>
          </w:p>
        </w:tc>
        <w:tc>
          <w:tcPr>
            <w:tcW w:w="4380" w:type="dxa"/>
            <w:vAlign w:val="bottom"/>
          </w:tcPr>
          <w:p>
            <w:pPr>
              <w:ind w:left="60"/>
              <w:spacing w:after="0"/>
              <w:rPr>
                <w:sz w:val="20"/>
                <w:szCs w:val="20"/>
                <w:color w:val="auto"/>
              </w:rPr>
            </w:pPr>
            <w:r>
              <w:rPr>
                <w:rFonts w:ascii="Arial" w:cs="Arial" w:eastAsia="Arial" w:hAnsi="Arial"/>
                <w:sz w:val="20"/>
                <w:szCs w:val="20"/>
                <w:color w:val="auto"/>
              </w:rPr>
              <w:t>Operating solvent recycling center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9,434</w:t>
            </w:r>
          </w:p>
        </w:tc>
        <w:tc>
          <w:tcPr>
            <w:tcW w:w="1280" w:type="dxa"/>
            <w:vAlign w:val="bottom"/>
            <w:gridSpan w:val="2"/>
          </w:tcPr>
          <w:p>
            <w:pPr>
              <w:jc w:val="right"/>
              <w:ind w:right="171"/>
              <w:spacing w:after="0"/>
              <w:rPr>
                <w:sz w:val="20"/>
                <w:szCs w:val="20"/>
                <w:color w:val="auto"/>
              </w:rPr>
            </w:pPr>
            <w:r>
              <w:rPr>
                <w:rFonts w:ascii="Arial" w:cs="Arial" w:eastAsia="Arial" w:hAnsi="Arial"/>
                <w:sz w:val="20"/>
                <w:szCs w:val="20"/>
                <w:color w:val="auto"/>
              </w:rPr>
              <w:t>8.4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2,148</w:t>
            </w:r>
          </w:p>
        </w:tc>
        <w:tc>
          <w:tcPr>
            <w:tcW w:w="0" w:type="dxa"/>
            <w:vAlign w:val="bottom"/>
          </w:tcPr>
          <w:p>
            <w:pPr>
              <w:spacing w:after="0"/>
              <w:rPr>
                <w:sz w:val="1"/>
                <w:szCs w:val="1"/>
                <w:color w:val="auto"/>
              </w:rPr>
            </w:pPr>
          </w:p>
        </w:tc>
      </w:tr>
      <w:tr>
        <w:trPr>
          <w:trHeight w:val="194"/>
        </w:trPr>
        <w:tc>
          <w:tcPr>
            <w:tcW w:w="1820" w:type="dxa"/>
            <w:vAlign w:val="bottom"/>
            <w:shd w:val="clear" w:color="auto" w:fill="E6E6E6"/>
          </w:tcPr>
          <w:p>
            <w:pPr>
              <w:ind w:left="60"/>
              <w:spacing w:after="0" w:line="194" w:lineRule="exact"/>
              <w:rPr>
                <w:sz w:val="20"/>
                <w:szCs w:val="20"/>
                <w:color w:val="auto"/>
              </w:rPr>
            </w:pPr>
            <w:r>
              <w:rPr>
                <w:rFonts w:ascii="Arial" w:cs="Arial" w:eastAsia="Arial" w:hAnsi="Arial"/>
                <w:sz w:val="20"/>
                <w:szCs w:val="20"/>
                <w:color w:val="auto"/>
              </w:rPr>
              <w:t>Various</w:t>
            </w:r>
          </w:p>
        </w:tc>
        <w:tc>
          <w:tcPr>
            <w:tcW w:w="80" w:type="dxa"/>
            <w:vAlign w:val="bottom"/>
            <w:shd w:val="clear" w:color="auto" w:fill="E6E6E6"/>
          </w:tcPr>
          <w:p>
            <w:pPr>
              <w:spacing w:after="0"/>
              <w:rPr>
                <w:sz w:val="16"/>
                <w:szCs w:val="16"/>
                <w:color w:val="auto"/>
              </w:rPr>
            </w:pPr>
          </w:p>
        </w:tc>
        <w:tc>
          <w:tcPr>
            <w:tcW w:w="4380" w:type="dxa"/>
            <w:vAlign w:val="bottom"/>
            <w:shd w:val="clear" w:color="auto" w:fill="E6E6E6"/>
          </w:tcPr>
          <w:p>
            <w:pPr>
              <w:ind w:left="60"/>
              <w:spacing w:after="0" w:line="194" w:lineRule="exact"/>
              <w:rPr>
                <w:sz w:val="20"/>
                <w:szCs w:val="20"/>
                <w:color w:val="auto"/>
              </w:rPr>
            </w:pPr>
            <w:r>
              <w:rPr>
                <w:rFonts w:ascii="Arial" w:cs="Arial" w:eastAsia="Arial" w:hAnsi="Arial"/>
                <w:sz w:val="20"/>
                <w:szCs w:val="20"/>
                <w:color w:val="auto"/>
                <w:w w:val="92"/>
              </w:rPr>
              <w:t>All other incinerators, landfills, wastewater treatment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1040" w:type="dxa"/>
            <w:vAlign w:val="bottom"/>
            <w:shd w:val="clear" w:color="auto" w:fill="E6E6E6"/>
          </w:tcPr>
          <w:p>
            <w:pPr>
              <w:jc w:val="right"/>
              <w:spacing w:after="0" w:line="194" w:lineRule="exact"/>
              <w:rPr>
                <w:sz w:val="20"/>
                <w:szCs w:val="20"/>
                <w:color w:val="auto"/>
              </w:rPr>
            </w:pPr>
            <w:r>
              <w:rPr>
                <w:rFonts w:ascii="Arial" w:cs="Arial" w:eastAsia="Arial" w:hAnsi="Arial"/>
                <w:sz w:val="20"/>
                <w:szCs w:val="20"/>
                <w:color w:val="auto"/>
              </w:rPr>
              <w:t>39,852</w:t>
            </w:r>
          </w:p>
        </w:tc>
        <w:tc>
          <w:tcPr>
            <w:tcW w:w="1280" w:type="dxa"/>
            <w:vAlign w:val="bottom"/>
            <w:gridSpan w:val="2"/>
            <w:shd w:val="clear" w:color="auto" w:fill="E6E6E6"/>
          </w:tcPr>
          <w:p>
            <w:pPr>
              <w:jc w:val="right"/>
              <w:ind w:right="171"/>
              <w:spacing w:after="0" w:line="194" w:lineRule="exact"/>
              <w:rPr>
                <w:sz w:val="20"/>
                <w:szCs w:val="20"/>
                <w:color w:val="auto"/>
              </w:rPr>
            </w:pPr>
            <w:r>
              <w:rPr>
                <w:rFonts w:ascii="Arial" w:cs="Arial" w:eastAsia="Arial" w:hAnsi="Arial"/>
                <w:sz w:val="20"/>
                <w:szCs w:val="20"/>
                <w:color w:val="auto"/>
              </w:rPr>
              <w:t>35.7</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1080" w:type="dxa"/>
            <w:vAlign w:val="bottom"/>
            <w:shd w:val="clear" w:color="auto" w:fill="E6E6E6"/>
          </w:tcPr>
          <w:p>
            <w:pPr>
              <w:jc w:val="right"/>
              <w:spacing w:after="0" w:line="194" w:lineRule="exact"/>
              <w:rPr>
                <w:sz w:val="20"/>
                <w:szCs w:val="20"/>
                <w:color w:val="auto"/>
              </w:rPr>
            </w:pPr>
            <w:r>
              <w:rPr>
                <w:rFonts w:ascii="Arial" w:cs="Arial" w:eastAsia="Arial" w:hAnsi="Arial"/>
                <w:sz w:val="20"/>
                <w:szCs w:val="20"/>
                <w:color w:val="auto"/>
              </w:rPr>
              <w:t>8,926</w:t>
            </w:r>
          </w:p>
        </w:tc>
        <w:tc>
          <w:tcPr>
            <w:tcW w:w="0" w:type="dxa"/>
            <w:vAlign w:val="bottom"/>
          </w:tcPr>
          <w:p>
            <w:pPr>
              <w:spacing w:after="0"/>
              <w:rPr>
                <w:sz w:val="1"/>
                <w:szCs w:val="1"/>
                <w:color w:val="auto"/>
              </w:rPr>
            </w:pPr>
          </w:p>
        </w:tc>
      </w:tr>
      <w:tr>
        <w:trPr>
          <w:trHeight w:val="197"/>
        </w:trPr>
        <w:tc>
          <w:tcPr>
            <w:tcW w:w="18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4380" w:type="dxa"/>
            <w:vAlign w:val="bottom"/>
            <w:shd w:val="clear" w:color="auto" w:fill="E6E6E6"/>
          </w:tcPr>
          <w:p>
            <w:pPr>
              <w:ind w:left="60"/>
              <w:spacing w:after="0" w:line="197" w:lineRule="exact"/>
              <w:rPr>
                <w:sz w:val="20"/>
                <w:szCs w:val="20"/>
                <w:color w:val="auto"/>
              </w:rPr>
            </w:pPr>
            <w:r>
              <w:rPr>
                <w:rFonts w:ascii="Arial" w:cs="Arial" w:eastAsia="Arial" w:hAnsi="Arial"/>
                <w:sz w:val="20"/>
                <w:szCs w:val="20"/>
                <w:color w:val="auto"/>
                <w:w w:val="95"/>
              </w:rPr>
              <w:t>facilities and service centers (83 facilities, including</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4380" w:type="dxa"/>
            <w:vAlign w:val="bottom"/>
            <w:shd w:val="clear" w:color="auto" w:fill="E6E6E6"/>
          </w:tcPr>
          <w:p>
            <w:pPr>
              <w:ind w:left="60"/>
              <w:spacing w:after="0" w:line="197" w:lineRule="exact"/>
              <w:rPr>
                <w:sz w:val="20"/>
                <w:szCs w:val="20"/>
                <w:color w:val="auto"/>
              </w:rPr>
            </w:pPr>
            <w:r>
              <w:rPr>
                <w:rFonts w:ascii="Arial" w:cs="Arial" w:eastAsia="Arial" w:hAnsi="Arial"/>
                <w:sz w:val="20"/>
                <w:szCs w:val="20"/>
                <w:color w:val="auto"/>
                <w:w w:val="93"/>
              </w:rPr>
              <w:t>24 acquired by the Company through acquisitions in</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2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820" w:type="dxa"/>
            <w:vAlign w:val="bottom"/>
            <w:tcBorders>
              <w:bottom w:val="single" w:sz="8" w:color="E6E6E6"/>
            </w:tcBorders>
            <w:shd w:val="clear" w:color="auto" w:fill="E6E6E6"/>
          </w:tcPr>
          <w:p>
            <w:pPr>
              <w:spacing w:after="0"/>
              <w:rPr>
                <w:sz w:val="23"/>
                <w:szCs w:val="23"/>
                <w:color w:val="auto"/>
              </w:rPr>
            </w:pPr>
          </w:p>
        </w:tc>
        <w:tc>
          <w:tcPr>
            <w:tcW w:w="4460" w:type="dxa"/>
            <w:vAlign w:val="bottom"/>
            <w:tcBorders>
              <w:bottom w:val="single" w:sz="8" w:color="E6E6E6"/>
            </w:tcBorders>
            <w:gridSpan w:val="2"/>
            <w:shd w:val="clear" w:color="auto" w:fill="E6E6E6"/>
          </w:tcPr>
          <w:p>
            <w:pPr>
              <w:ind w:left="140"/>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104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120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820" w:type="dxa"/>
            <w:vAlign w:val="bottom"/>
          </w:tcPr>
          <w:p>
            <w:pPr>
              <w:ind w:left="60"/>
              <w:spacing w:after="0" w:line="188" w:lineRule="exact"/>
              <w:rPr>
                <w:sz w:val="20"/>
                <w:szCs w:val="20"/>
                <w:color w:val="auto"/>
              </w:rPr>
            </w:pPr>
            <w:r>
              <w:rPr>
                <w:rFonts w:ascii="Arial" w:cs="Arial" w:eastAsia="Arial" w:hAnsi="Arial"/>
                <w:sz w:val="20"/>
                <w:szCs w:val="20"/>
                <w:color w:val="auto"/>
              </w:rPr>
              <w:t>Various</w:t>
            </w:r>
          </w:p>
        </w:tc>
        <w:tc>
          <w:tcPr>
            <w:tcW w:w="80" w:type="dxa"/>
            <w:vAlign w:val="bottom"/>
          </w:tcPr>
          <w:p>
            <w:pPr>
              <w:spacing w:after="0"/>
              <w:rPr>
                <w:sz w:val="16"/>
                <w:szCs w:val="16"/>
                <w:color w:val="auto"/>
              </w:rPr>
            </w:pPr>
          </w:p>
        </w:tc>
        <w:tc>
          <w:tcPr>
            <w:tcW w:w="4380" w:type="dxa"/>
            <w:vAlign w:val="bottom"/>
          </w:tcPr>
          <w:p>
            <w:pPr>
              <w:ind w:left="60"/>
              <w:spacing w:after="0" w:line="188" w:lineRule="exact"/>
              <w:rPr>
                <w:sz w:val="20"/>
                <w:szCs w:val="20"/>
                <w:color w:val="auto"/>
              </w:rPr>
            </w:pPr>
            <w:r>
              <w:rPr>
                <w:rFonts w:ascii="Arial" w:cs="Arial" w:eastAsia="Arial" w:hAnsi="Arial"/>
                <w:sz w:val="20"/>
                <w:szCs w:val="20"/>
                <w:color w:val="auto"/>
                <w:w w:val="94"/>
              </w:rPr>
              <w:t>Superfund sites (each representing less than 5%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8" w:lineRule="exact"/>
              <w:rPr>
                <w:sz w:val="20"/>
                <w:szCs w:val="20"/>
                <w:color w:val="auto"/>
              </w:rPr>
            </w:pPr>
            <w:r>
              <w:rPr>
                <w:rFonts w:ascii="Arial" w:cs="Arial" w:eastAsia="Arial" w:hAnsi="Arial"/>
                <w:sz w:val="20"/>
                <w:szCs w:val="20"/>
                <w:color w:val="auto"/>
              </w:rPr>
              <w:t>8,638</w:t>
            </w:r>
          </w:p>
        </w:tc>
        <w:tc>
          <w:tcPr>
            <w:tcW w:w="1280" w:type="dxa"/>
            <w:vAlign w:val="bottom"/>
            <w:gridSpan w:val="2"/>
          </w:tcPr>
          <w:p>
            <w:pPr>
              <w:jc w:val="right"/>
              <w:ind w:right="171"/>
              <w:spacing w:after="0" w:line="188" w:lineRule="exact"/>
              <w:rPr>
                <w:sz w:val="20"/>
                <w:szCs w:val="20"/>
                <w:color w:val="auto"/>
              </w:rPr>
            </w:pPr>
            <w:r>
              <w:rPr>
                <w:rFonts w:ascii="Arial" w:cs="Arial" w:eastAsia="Arial" w:hAnsi="Arial"/>
                <w:sz w:val="20"/>
                <w:szCs w:val="20"/>
                <w:color w:val="auto"/>
              </w:rPr>
              <w:t>7.7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Arial" w:cs="Arial" w:eastAsia="Arial" w:hAnsi="Arial"/>
                <w:sz w:val="20"/>
                <w:szCs w:val="20"/>
                <w:color w:val="auto"/>
              </w:rPr>
              <w:t>1,296</w:t>
            </w:r>
          </w:p>
        </w:tc>
        <w:tc>
          <w:tcPr>
            <w:tcW w:w="0" w:type="dxa"/>
            <w:vAlign w:val="bottom"/>
          </w:tcPr>
          <w:p>
            <w:pPr>
              <w:spacing w:after="0"/>
              <w:rPr>
                <w:sz w:val="1"/>
                <w:szCs w:val="1"/>
                <w:color w:val="auto"/>
              </w:rPr>
            </w:pPr>
          </w:p>
        </w:tc>
      </w:tr>
      <w:tr>
        <w:trPr>
          <w:trHeight w:val="258"/>
        </w:trPr>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380" w:type="dxa"/>
            <w:vAlign w:val="bottom"/>
          </w:tcPr>
          <w:p>
            <w:pPr>
              <w:ind w:left="60"/>
              <w:spacing w:after="0"/>
              <w:rPr>
                <w:sz w:val="20"/>
                <w:szCs w:val="20"/>
                <w:color w:val="auto"/>
              </w:rPr>
            </w:pPr>
            <w:r>
              <w:rPr>
                <w:rFonts w:ascii="Arial" w:cs="Arial" w:eastAsia="Arial" w:hAnsi="Arial"/>
                <w:sz w:val="20"/>
                <w:szCs w:val="20"/>
                <w:color w:val="auto"/>
              </w:rPr>
              <w:t>total liabilities) (12 sites)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1820" w:type="dxa"/>
            <w:vAlign w:val="bottom"/>
            <w:tcBorders>
              <w:bottom w:val="single" w:sz="8" w:color="E6E6E6"/>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4380" w:type="dxa"/>
            <w:vAlign w:val="bottom"/>
            <w:tcBorders>
              <w:bottom w:val="single" w:sz="8" w:color="E6E6E6"/>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1820" w:type="dxa"/>
            <w:vAlign w:val="bottom"/>
            <w:shd w:val="clear" w:color="auto" w:fill="E6E6E6"/>
          </w:tcPr>
          <w:p>
            <w:pPr>
              <w:ind w:left="60"/>
              <w:spacing w:after="0"/>
              <w:rPr>
                <w:sz w:val="20"/>
                <w:szCs w:val="20"/>
                <w:color w:val="auto"/>
              </w:rPr>
            </w:pPr>
            <w:r>
              <w:rPr>
                <w:rFonts w:ascii="Arial" w:cs="Arial" w:eastAsia="Arial" w:hAnsi="Arial"/>
                <w:sz w:val="20"/>
                <w:szCs w:val="20"/>
                <w:color w:val="auto"/>
              </w:rPr>
              <w:t>Total</w:t>
            </w:r>
          </w:p>
        </w:tc>
        <w:tc>
          <w:tcPr>
            <w:tcW w:w="80" w:type="dxa"/>
            <w:vAlign w:val="bottom"/>
            <w:shd w:val="clear" w:color="auto" w:fill="E6E6E6"/>
          </w:tcPr>
          <w:p>
            <w:pPr>
              <w:spacing w:after="0"/>
              <w:rPr>
                <w:sz w:val="24"/>
                <w:szCs w:val="24"/>
                <w:color w:val="auto"/>
              </w:rPr>
            </w:pPr>
          </w:p>
        </w:tc>
        <w:tc>
          <w:tcPr>
            <w:tcW w:w="4380" w:type="dxa"/>
            <w:vAlign w:val="bottom"/>
            <w:shd w:val="clear" w:color="auto" w:fill="E6E6E6"/>
          </w:tcPr>
          <w:p>
            <w:pPr>
              <w:spacing w:after="0"/>
              <w:rPr>
                <w:sz w:val="24"/>
                <w:szCs w:val="24"/>
                <w:color w:val="auto"/>
              </w:rPr>
            </w:pP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111,745</w:t>
            </w:r>
          </w:p>
        </w:tc>
        <w:tc>
          <w:tcPr>
            <w:tcW w:w="1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100.0 %</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21,558</w:t>
            </w:r>
          </w:p>
        </w:tc>
        <w:tc>
          <w:tcPr>
            <w:tcW w:w="0" w:type="dxa"/>
            <w:vAlign w:val="bottom"/>
          </w:tcPr>
          <w:p>
            <w:pPr>
              <w:spacing w:after="0"/>
              <w:rPr>
                <w:sz w:val="1"/>
                <w:szCs w:val="1"/>
                <w:color w:val="auto"/>
              </w:rPr>
            </w:pPr>
          </w:p>
        </w:tc>
      </w:tr>
      <w:tr>
        <w:trPr>
          <w:trHeight w:val="243"/>
        </w:trPr>
        <w:tc>
          <w:tcPr>
            <w:tcW w:w="6280" w:type="dxa"/>
            <w:vAlign w:val="bottom"/>
            <w:tcBorders>
              <w:top w:val="single" w:sz="8" w:color="E6E6E6"/>
            </w:tcBorders>
            <w:gridSpan w:val="3"/>
          </w:tcPr>
          <w:p>
            <w:pPr>
              <w:spacing w:after="0"/>
              <w:rPr>
                <w:sz w:val="20"/>
                <w:szCs w:val="20"/>
                <w:color w:val="auto"/>
              </w:rPr>
            </w:pPr>
            <w:r>
              <w:rPr>
                <w:rFonts w:ascii="Arial" w:cs="Arial" w:eastAsia="Arial" w:hAnsi="Arial"/>
                <w:sz w:val="20"/>
                <w:szCs w:val="20"/>
                <w:color w:val="auto"/>
              </w:rPr>
              <w:t>_________________________________</w:t>
            </w:r>
          </w:p>
        </w:tc>
        <w:tc>
          <w:tcPr>
            <w:tcW w:w="60" w:type="dxa"/>
            <w:vAlign w:val="bottom"/>
            <w:tcBorders>
              <w:top w:val="single" w:sz="8" w:color="E6E6E6"/>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-198120</wp:posOffset>
            </wp:positionV>
            <wp:extent cx="2418080" cy="50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18080" cy="50165"/>
                    </a:xfrm>
                    <a:prstGeom prst="rect">
                      <a:avLst/>
                    </a:prstGeom>
                    <a:noFill/>
                  </pic:spPr>
                </pic:pic>
              </a:graphicData>
            </a:graphic>
          </wp:anchor>
        </w:drawing>
      </w:r>
    </w:p>
    <w:p>
      <w:pPr>
        <w:ind w:left="720" w:right="680" w:hanging="358"/>
        <w:spacing w:after="0" w:line="246"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$23.3 million of the $111.7 million remedial liabilities include estimates related to the legal and administrative proceedings discussed in Note 18, "Commitments and Contingencies."</w:t>
      </w:r>
    </w:p>
    <w:p>
      <w:pPr>
        <w:spacing w:after="0" w:line="1" w:lineRule="exact"/>
        <w:rPr>
          <w:rFonts w:ascii="Arial" w:cs="Arial" w:eastAsia="Arial" w:hAnsi="Arial"/>
          <w:sz w:val="20"/>
          <w:szCs w:val="20"/>
          <w:color w:val="auto"/>
        </w:rPr>
      </w:pPr>
    </w:p>
    <w:p>
      <w:pPr>
        <w:ind w:left="720" w:right="520" w:hanging="358"/>
        <w:spacing w:after="0" w:line="276"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Amounts represent the high end of the range of management's best estimate of the reasonably possible additional liabilities.</w:t>
      </w:r>
    </w:p>
    <w:p>
      <w:pPr>
        <w:spacing w:after="0" w:line="101" w:lineRule="exact"/>
        <w:rPr>
          <w:sz w:val="20"/>
          <w:szCs w:val="20"/>
          <w:color w:val="auto"/>
        </w:rPr>
      </w:pPr>
    </w:p>
    <w:p>
      <w:pPr>
        <w:ind w:right="160" w:firstLine="709"/>
        <w:spacing w:after="0" w:line="265" w:lineRule="auto"/>
        <w:rPr>
          <w:sz w:val="20"/>
          <w:szCs w:val="20"/>
          <w:color w:val="auto"/>
        </w:rPr>
      </w:pPr>
      <w:r>
        <w:rPr>
          <w:rFonts w:ascii="Arial" w:cs="Arial" w:eastAsia="Arial" w:hAnsi="Arial"/>
          <w:sz w:val="19"/>
          <w:szCs w:val="19"/>
          <w:color w:val="auto"/>
        </w:rPr>
        <w:t>Revisions to remediation reserve requirements may result in upward or downward adjustments to income from operations in any given period. The Company believes that its extensive experience in the environmental services business, as well as its involvement with a large number of sites, provides a reasonable basis for estimating its aggregate liability. It is possible, however, that future changes in available technology, regulatory or enforcement developments, the results of environmental studies or other factors could necessitate the recording of additional liabilities or the revision of currently recorded liabilities that could be material. Since the Company's satisfaction of the liabilities will occur over many years, the Company cannot reasonably predict the nature or extent of possible future events or the impact that those events, if any, might have on the current estimates of remedial liabilities.</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880" w:h="15480" w:orient="portrait"/>
          <w:cols w:equalWidth="0" w:num="1">
            <w:col w:w="10120"/>
          </w:cols>
          <w:pgMar w:left="880" w:top="338" w:right="880" w:bottom="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1" w:lineRule="exact"/>
        <w:rPr>
          <w:sz w:val="20"/>
          <w:szCs w:val="20"/>
          <w:color w:val="auto"/>
        </w:rPr>
      </w:pPr>
    </w:p>
    <w:p>
      <w:pPr>
        <w:ind w:right="6840" w:firstLine="7"/>
        <w:spacing w:after="0" w:line="414" w:lineRule="auto"/>
        <w:tabs>
          <w:tab w:leader="none" w:pos="377"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FINANCING ARRANGEMENTS Long-term Debt</w:t>
      </w:r>
    </w:p>
    <w:p>
      <w:pPr>
        <w:spacing w:after="0" w:line="1" w:lineRule="exact"/>
        <w:rPr>
          <w:rFonts w:ascii="Arial" w:cs="Arial" w:eastAsia="Arial" w:hAnsi="Arial"/>
          <w:sz w:val="20"/>
          <w:szCs w:val="20"/>
          <w:b w:val="1"/>
          <w:bCs w:val="1"/>
          <w:color w:val="auto"/>
        </w:rPr>
      </w:pPr>
    </w:p>
    <w:p>
      <w:pPr>
        <w:ind w:left="720"/>
        <w:spacing w:after="0"/>
        <w:rPr>
          <w:rFonts w:ascii="Arial" w:cs="Arial" w:eastAsia="Arial" w:hAnsi="Arial"/>
          <w:sz w:val="20"/>
          <w:szCs w:val="20"/>
          <w:b w:val="1"/>
          <w:bCs w:val="1"/>
          <w:color w:val="auto"/>
        </w:rPr>
      </w:pPr>
      <w:r>
        <w:rPr>
          <w:rFonts w:ascii="Arial" w:cs="Arial" w:eastAsia="Arial" w:hAnsi="Arial"/>
          <w:sz w:val="20"/>
          <w:szCs w:val="20"/>
          <w:color w:val="auto"/>
        </w:rPr>
        <w:t>The following table is a summary of the Company's long-term debt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 w:type="dxa"/>
            <w:vAlign w:val="bottom"/>
            <w:tcBorders>
              <w:bottom w:val="single" w:sz="8" w:color="E6E6E6"/>
            </w:tcBorders>
          </w:tcPr>
          <w:p>
            <w:pPr>
              <w:spacing w:after="0"/>
              <w:rPr>
                <w:sz w:val="18"/>
                <w:szCs w:val="18"/>
                <w:color w:val="auto"/>
              </w:rPr>
            </w:pPr>
          </w:p>
        </w:tc>
        <w:tc>
          <w:tcPr>
            <w:tcW w:w="1500" w:type="dxa"/>
            <w:vAlign w:val="bottom"/>
            <w:tcBorders>
              <w:bottom w:val="single" w:sz="8" w:color="E6E6E6"/>
            </w:tcBorders>
          </w:tcPr>
          <w:p>
            <w:pPr>
              <w:spacing w:after="0"/>
              <w:rPr>
                <w:sz w:val="18"/>
                <w:szCs w:val="18"/>
                <w:color w:val="auto"/>
              </w:rPr>
            </w:pPr>
          </w:p>
        </w:tc>
        <w:tc>
          <w:tcPr>
            <w:tcW w:w="1620" w:type="dxa"/>
            <w:vAlign w:val="bottom"/>
            <w:tcBorders>
              <w:bottom w:val="single" w:sz="8" w:color="E6E6E6"/>
            </w:tcBorders>
          </w:tcPr>
          <w:p>
            <w:pPr>
              <w:spacing w:after="0"/>
              <w:rPr>
                <w:sz w:val="18"/>
                <w:szCs w:val="18"/>
                <w:color w:val="auto"/>
              </w:rPr>
            </w:pPr>
          </w:p>
        </w:tc>
        <w:tc>
          <w:tcPr>
            <w:tcW w:w="350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w w:val="88"/>
              </w:rPr>
              <w:t>December 31, 2024</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w w:val="88"/>
              </w:rPr>
              <w:t>December 31, 2023</w:t>
            </w:r>
          </w:p>
        </w:tc>
      </w:tr>
      <w:tr>
        <w:trPr>
          <w:trHeight w:val="251"/>
        </w:trPr>
        <w:tc>
          <w:tcPr>
            <w:tcW w:w="60" w:type="dxa"/>
            <w:vAlign w:val="bottom"/>
            <w:shd w:val="clear" w:color="auto" w:fill="E6E6E6"/>
          </w:tcPr>
          <w:p>
            <w:pPr>
              <w:spacing w:after="0"/>
              <w:rPr>
                <w:sz w:val="21"/>
                <w:szCs w:val="21"/>
                <w:color w:val="auto"/>
              </w:rPr>
            </w:pPr>
          </w:p>
        </w:tc>
        <w:tc>
          <w:tcPr>
            <w:tcW w:w="6620" w:type="dxa"/>
            <w:vAlign w:val="bottom"/>
            <w:gridSpan w:val="3"/>
            <w:shd w:val="clear" w:color="auto" w:fill="E6E6E6"/>
          </w:tcPr>
          <w:p>
            <w:pPr>
              <w:spacing w:after="0" w:line="215" w:lineRule="exact"/>
              <w:rPr>
                <w:sz w:val="20"/>
                <w:szCs w:val="20"/>
                <w:color w:val="auto"/>
              </w:rPr>
            </w:pPr>
            <w:r>
              <w:rPr>
                <w:rFonts w:ascii="Arial" w:cs="Arial" w:eastAsia="Arial" w:hAnsi="Arial"/>
                <w:sz w:val="20"/>
                <w:szCs w:val="20"/>
                <w:b w:val="1"/>
                <w:bCs w:val="1"/>
                <w:color w:val="auto"/>
              </w:rPr>
              <w:t>Current Portion of Long-Term Debt:</w:t>
            </w:r>
          </w:p>
        </w:tc>
        <w:tc>
          <w:tcPr>
            <w:tcW w:w="180" w:type="dxa"/>
            <w:vAlign w:val="bottom"/>
            <w:shd w:val="clear" w:color="auto" w:fill="E6E6E6"/>
          </w:tcPr>
          <w:p>
            <w:pPr>
              <w:spacing w:after="0"/>
              <w:rPr>
                <w:sz w:val="21"/>
                <w:szCs w:val="21"/>
                <w:color w:val="auto"/>
              </w:rPr>
            </w:pPr>
          </w:p>
        </w:tc>
        <w:tc>
          <w:tcPr>
            <w:tcW w:w="15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500" w:type="dxa"/>
            <w:vAlign w:val="bottom"/>
            <w:shd w:val="clear" w:color="auto" w:fill="E6E6E6"/>
          </w:tcPr>
          <w:p>
            <w:pPr>
              <w:spacing w:after="0"/>
              <w:rPr>
                <w:sz w:val="21"/>
                <w:szCs w:val="21"/>
                <w:color w:val="auto"/>
              </w:rPr>
            </w:pPr>
          </w:p>
        </w:tc>
      </w:tr>
      <w:tr>
        <w:trPr>
          <w:trHeight w:val="290"/>
        </w:trPr>
        <w:tc>
          <w:tcPr>
            <w:tcW w:w="60" w:type="dxa"/>
            <w:vAlign w:val="bottom"/>
            <w:tcBorders>
              <w:top w:val="single" w:sz="8" w:color="E6E6E6"/>
            </w:tcBorders>
          </w:tcPr>
          <w:p>
            <w:pPr>
              <w:spacing w:after="0"/>
              <w:rPr>
                <w:sz w:val="24"/>
                <w:szCs w:val="24"/>
                <w:color w:val="auto"/>
              </w:rPr>
            </w:pPr>
          </w:p>
        </w:tc>
        <w:tc>
          <w:tcPr>
            <w:tcW w:w="31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Secured senior term loans</w:t>
            </w:r>
          </w:p>
        </w:tc>
        <w:tc>
          <w:tcPr>
            <w:tcW w:w="3500" w:type="dxa"/>
            <w:vAlign w:val="bottom"/>
            <w:tcBorders>
              <w:top w:val="single" w:sz="8" w:color="E6E6E6"/>
            </w:tcBorders>
          </w:tcPr>
          <w:p>
            <w:pPr>
              <w:spacing w:after="0"/>
              <w:rPr>
                <w:sz w:val="24"/>
                <w:szCs w:val="24"/>
                <w:color w:val="auto"/>
              </w:rPr>
            </w:pPr>
          </w:p>
        </w:tc>
        <w:tc>
          <w:tcPr>
            <w:tcW w:w="180" w:type="dxa"/>
            <w:vAlign w:val="bottom"/>
            <w:tcBorders>
              <w:top w:val="single" w:sz="8" w:color="E6E6E6"/>
            </w:tcBorders>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top w:val="single" w:sz="8" w:color="E6E6E6"/>
            </w:tcBorders>
          </w:tcPr>
          <w:p>
            <w:pPr>
              <w:jc w:val="right"/>
              <w:spacing w:after="0"/>
              <w:rPr>
                <w:sz w:val="20"/>
                <w:szCs w:val="20"/>
                <w:color w:val="auto"/>
              </w:rPr>
            </w:pPr>
            <w:r>
              <w:rPr>
                <w:rFonts w:ascii="Arial" w:cs="Arial" w:eastAsia="Arial" w:hAnsi="Arial"/>
                <w:sz w:val="20"/>
                <w:szCs w:val="20"/>
                <w:color w:val="auto"/>
              </w:rPr>
              <w:t>15,102</w:t>
            </w:r>
          </w:p>
        </w:tc>
        <w:tc>
          <w:tcPr>
            <w:tcW w:w="240" w:type="dxa"/>
            <w:vAlign w:val="bottom"/>
            <w:tcBorders>
              <w:top w:val="single" w:sz="8" w:color="E6E6E6"/>
            </w:tcBorders>
            <w:gridSpan w:val="2"/>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top w:val="single" w:sz="8" w:color="E6E6E6"/>
            </w:tcBorders>
          </w:tcPr>
          <w:p>
            <w:pPr>
              <w:jc w:val="right"/>
              <w:spacing w:after="0"/>
              <w:rPr>
                <w:sz w:val="20"/>
                <w:szCs w:val="20"/>
                <w:color w:val="auto"/>
              </w:rPr>
            </w:pPr>
            <w:r>
              <w:rPr>
                <w:rFonts w:ascii="Arial" w:cs="Arial" w:eastAsia="Arial" w:hAnsi="Arial"/>
                <w:sz w:val="20"/>
                <w:szCs w:val="20"/>
                <w:color w:val="auto"/>
              </w:rPr>
              <w:t>10,000</w:t>
            </w:r>
          </w:p>
        </w:tc>
      </w:tr>
      <w:tr>
        <w:trPr>
          <w:trHeight w:val="251"/>
        </w:trPr>
        <w:tc>
          <w:tcPr>
            <w:tcW w:w="60" w:type="dxa"/>
            <w:vAlign w:val="bottom"/>
            <w:tcBorders>
              <w:top w:val="single" w:sz="8" w:color="E6E6E6"/>
            </w:tcBorders>
            <w:shd w:val="clear" w:color="auto" w:fill="E6E6E6"/>
          </w:tcPr>
          <w:p>
            <w:pPr>
              <w:spacing w:after="0"/>
              <w:rPr>
                <w:sz w:val="21"/>
                <w:szCs w:val="21"/>
                <w:color w:val="auto"/>
              </w:rPr>
            </w:pPr>
          </w:p>
        </w:tc>
        <w:tc>
          <w:tcPr>
            <w:tcW w:w="1500" w:type="dxa"/>
            <w:vAlign w:val="bottom"/>
            <w:tcBorders>
              <w:top w:val="single" w:sz="8" w:color="E6E6E6"/>
            </w:tcBorders>
            <w:shd w:val="clear" w:color="auto" w:fill="E6E6E6"/>
          </w:tcPr>
          <w:p>
            <w:pPr>
              <w:spacing w:after="0"/>
              <w:rPr>
                <w:sz w:val="21"/>
                <w:szCs w:val="21"/>
                <w:color w:val="auto"/>
              </w:rPr>
            </w:pPr>
          </w:p>
        </w:tc>
        <w:tc>
          <w:tcPr>
            <w:tcW w:w="1620" w:type="dxa"/>
            <w:vAlign w:val="bottom"/>
            <w:tcBorders>
              <w:top w:val="single" w:sz="8" w:color="E6E6E6"/>
            </w:tcBorders>
            <w:shd w:val="clear" w:color="auto" w:fill="E6E6E6"/>
          </w:tcPr>
          <w:p>
            <w:pPr>
              <w:spacing w:after="0"/>
              <w:rPr>
                <w:sz w:val="21"/>
                <w:szCs w:val="21"/>
                <w:color w:val="auto"/>
              </w:rPr>
            </w:pPr>
          </w:p>
        </w:tc>
        <w:tc>
          <w:tcPr>
            <w:tcW w:w="3500" w:type="dxa"/>
            <w:vAlign w:val="bottom"/>
            <w:tcBorders>
              <w:top w:val="single" w:sz="8" w:color="E6E6E6"/>
            </w:tcBorders>
            <w:shd w:val="clear" w:color="auto" w:fill="E6E6E6"/>
          </w:tcPr>
          <w:p>
            <w:pPr>
              <w:spacing w:after="0"/>
              <w:rPr>
                <w:sz w:val="21"/>
                <w:szCs w:val="21"/>
                <w:color w:val="auto"/>
              </w:rPr>
            </w:pPr>
          </w:p>
        </w:tc>
        <w:tc>
          <w:tcPr>
            <w:tcW w:w="180" w:type="dxa"/>
            <w:vAlign w:val="bottom"/>
            <w:tcBorders>
              <w:top w:val="single" w:sz="8" w:color="auto"/>
            </w:tcBorders>
            <w:shd w:val="clear" w:color="auto" w:fill="E6E6E6"/>
          </w:tcPr>
          <w:p>
            <w:pPr>
              <w:spacing w:after="0"/>
              <w:rPr>
                <w:sz w:val="21"/>
                <w:szCs w:val="21"/>
                <w:color w:val="auto"/>
              </w:rPr>
            </w:pPr>
          </w:p>
        </w:tc>
        <w:tc>
          <w:tcPr>
            <w:tcW w:w="15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80" w:type="dxa"/>
            <w:vAlign w:val="bottom"/>
            <w:tcBorders>
              <w:top w:val="single" w:sz="8" w:color="auto"/>
            </w:tcBorders>
            <w:shd w:val="clear" w:color="auto" w:fill="E6E6E6"/>
          </w:tcPr>
          <w:p>
            <w:pPr>
              <w:spacing w:after="0"/>
              <w:rPr>
                <w:sz w:val="21"/>
                <w:szCs w:val="21"/>
                <w:color w:val="auto"/>
              </w:rPr>
            </w:pPr>
          </w:p>
        </w:tc>
        <w:tc>
          <w:tcPr>
            <w:tcW w:w="1500" w:type="dxa"/>
            <w:vAlign w:val="bottom"/>
            <w:tcBorders>
              <w:top w:val="single" w:sz="8" w:color="auto"/>
            </w:tcBorders>
            <w:shd w:val="clear" w:color="auto" w:fill="E6E6E6"/>
          </w:tcPr>
          <w:p>
            <w:pPr>
              <w:spacing w:after="0"/>
              <w:rPr>
                <w:sz w:val="21"/>
                <w:szCs w:val="21"/>
                <w:color w:val="auto"/>
              </w:rPr>
            </w:pPr>
          </w:p>
        </w:tc>
      </w:tr>
      <w:tr>
        <w:trPr>
          <w:trHeight w:val="225"/>
        </w:trPr>
        <w:tc>
          <w:tcPr>
            <w:tcW w:w="60" w:type="dxa"/>
            <w:vAlign w:val="bottom"/>
          </w:tcPr>
          <w:p>
            <w:pPr>
              <w:spacing w:after="0"/>
              <w:rPr>
                <w:sz w:val="19"/>
                <w:szCs w:val="19"/>
                <w:color w:val="auto"/>
              </w:rPr>
            </w:pPr>
          </w:p>
        </w:tc>
        <w:tc>
          <w:tcPr>
            <w:tcW w:w="6620" w:type="dxa"/>
            <w:vAlign w:val="bottom"/>
            <w:gridSpan w:val="3"/>
          </w:tcPr>
          <w:p>
            <w:pPr>
              <w:spacing w:after="0" w:line="226" w:lineRule="exact"/>
              <w:rPr>
                <w:sz w:val="20"/>
                <w:szCs w:val="20"/>
                <w:color w:val="auto"/>
              </w:rPr>
            </w:pPr>
            <w:r>
              <w:rPr>
                <w:rFonts w:ascii="Arial" w:cs="Arial" w:eastAsia="Arial" w:hAnsi="Arial"/>
                <w:sz w:val="20"/>
                <w:szCs w:val="20"/>
                <w:b w:val="1"/>
                <w:bCs w:val="1"/>
                <w:color w:val="auto"/>
              </w:rPr>
              <w:t>Long-Term Debt:</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6"/>
        </w:trPr>
        <w:tc>
          <w:tcPr>
            <w:tcW w:w="60" w:type="dxa"/>
            <w:vAlign w:val="bottom"/>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16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81"/>
        </w:trPr>
        <w:tc>
          <w:tcPr>
            <w:tcW w:w="60" w:type="dxa"/>
            <w:vAlign w:val="bottom"/>
            <w:shd w:val="clear" w:color="auto" w:fill="E6E6E6"/>
          </w:tcPr>
          <w:p>
            <w:pPr>
              <w:spacing w:after="0"/>
              <w:rPr>
                <w:sz w:val="24"/>
                <w:szCs w:val="24"/>
                <w:color w:val="auto"/>
              </w:rPr>
            </w:pPr>
          </w:p>
        </w:tc>
        <w:tc>
          <w:tcPr>
            <w:tcW w:w="6620" w:type="dxa"/>
            <w:vAlign w:val="bottom"/>
            <w:gridSpan w:val="3"/>
            <w:shd w:val="clear" w:color="auto" w:fill="E6E6E6"/>
          </w:tcPr>
          <w:p>
            <w:pPr>
              <w:spacing w:after="0"/>
              <w:rPr>
                <w:sz w:val="20"/>
                <w:szCs w:val="20"/>
                <w:color w:val="auto"/>
              </w:rPr>
            </w:pPr>
            <w:r>
              <w:rPr>
                <w:rFonts w:ascii="Arial" w:cs="Arial" w:eastAsia="Arial" w:hAnsi="Arial"/>
                <w:sz w:val="20"/>
                <w:szCs w:val="20"/>
                <w:color w:val="auto"/>
              </w:rPr>
              <w:t>Secured senior term loans due October 8, 2028</w:t>
            </w:r>
          </w:p>
        </w:tc>
        <w:tc>
          <w:tcPr>
            <w:tcW w:w="18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1,449,796</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970,000</w:t>
            </w:r>
          </w:p>
        </w:tc>
      </w:tr>
      <w:tr>
        <w:trPr>
          <w:trHeight w:val="275"/>
        </w:trPr>
        <w:tc>
          <w:tcPr>
            <w:tcW w:w="60" w:type="dxa"/>
            <w:vAlign w:val="bottom"/>
          </w:tcPr>
          <w:p>
            <w:pPr>
              <w:spacing w:after="0"/>
              <w:rPr>
                <w:sz w:val="23"/>
                <w:szCs w:val="23"/>
                <w:color w:val="auto"/>
              </w:rPr>
            </w:pPr>
          </w:p>
        </w:tc>
        <w:tc>
          <w:tcPr>
            <w:tcW w:w="6620" w:type="dxa"/>
            <w:vAlign w:val="bottom"/>
            <w:gridSpan w:val="3"/>
          </w:tcPr>
          <w:p>
            <w:pPr>
              <w:spacing w:after="0"/>
              <w:rPr>
                <w:sz w:val="20"/>
                <w:szCs w:val="20"/>
                <w:color w:val="auto"/>
              </w:rPr>
            </w:pPr>
            <w:r>
              <w:rPr>
                <w:rFonts w:ascii="Arial" w:cs="Arial" w:eastAsia="Arial" w:hAnsi="Arial"/>
                <w:sz w:val="20"/>
                <w:szCs w:val="20"/>
                <w:color w:val="auto"/>
              </w:rPr>
              <w:t>Unsecured senior notes, at 4.875%, due July 15, 2027 ("2027 Notes")</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545,000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545,000</w:t>
            </w:r>
          </w:p>
        </w:tc>
      </w:tr>
      <w:tr>
        <w:trPr>
          <w:trHeight w:val="287"/>
        </w:trPr>
        <w:tc>
          <w:tcPr>
            <w:tcW w:w="60" w:type="dxa"/>
            <w:vAlign w:val="bottom"/>
            <w:shd w:val="clear" w:color="auto" w:fill="E6E6E6"/>
          </w:tcPr>
          <w:p>
            <w:pPr>
              <w:spacing w:after="0"/>
              <w:rPr>
                <w:sz w:val="24"/>
                <w:szCs w:val="24"/>
                <w:color w:val="auto"/>
              </w:rPr>
            </w:pPr>
          </w:p>
        </w:tc>
        <w:tc>
          <w:tcPr>
            <w:tcW w:w="6620" w:type="dxa"/>
            <w:vAlign w:val="bottom"/>
            <w:gridSpan w:val="3"/>
            <w:shd w:val="clear" w:color="auto" w:fill="E6E6E6"/>
          </w:tcPr>
          <w:p>
            <w:pPr>
              <w:spacing w:after="0"/>
              <w:rPr>
                <w:sz w:val="20"/>
                <w:szCs w:val="20"/>
                <w:color w:val="auto"/>
              </w:rPr>
            </w:pPr>
            <w:r>
              <w:rPr>
                <w:rFonts w:ascii="Arial" w:cs="Arial" w:eastAsia="Arial" w:hAnsi="Arial"/>
                <w:sz w:val="20"/>
                <w:szCs w:val="20"/>
                <w:color w:val="auto"/>
              </w:rPr>
              <w:t>Unsecured senior notes, at 5.125%, due July 15, 2029 ("2029 Notes")</w:t>
            </w:r>
          </w:p>
        </w:tc>
        <w:tc>
          <w:tcPr>
            <w:tcW w:w="18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300,000</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300,000</w:t>
            </w:r>
          </w:p>
        </w:tc>
      </w:tr>
      <w:tr>
        <w:trPr>
          <w:trHeight w:val="271"/>
        </w:trPr>
        <w:tc>
          <w:tcPr>
            <w:tcW w:w="60" w:type="dxa"/>
            <w:vAlign w:val="bottom"/>
            <w:tcBorders>
              <w:bottom w:val="single" w:sz="8" w:color="E6E6E6"/>
            </w:tcBorders>
          </w:tcPr>
          <w:p>
            <w:pPr>
              <w:spacing w:after="0"/>
              <w:rPr>
                <w:sz w:val="23"/>
                <w:szCs w:val="23"/>
                <w:color w:val="auto"/>
              </w:rPr>
            </w:pPr>
          </w:p>
        </w:tc>
        <w:tc>
          <w:tcPr>
            <w:tcW w:w="6620" w:type="dxa"/>
            <w:vAlign w:val="bottom"/>
            <w:tcBorders>
              <w:bottom w:val="single" w:sz="8" w:color="E6E6E6"/>
            </w:tcBorders>
            <w:gridSpan w:val="3"/>
          </w:tcPr>
          <w:p>
            <w:pPr>
              <w:spacing w:after="0"/>
              <w:rPr>
                <w:sz w:val="20"/>
                <w:szCs w:val="20"/>
                <w:color w:val="auto"/>
              </w:rPr>
            </w:pPr>
            <w:r>
              <w:rPr>
                <w:rFonts w:ascii="Arial" w:cs="Arial" w:eastAsia="Arial" w:hAnsi="Arial"/>
                <w:sz w:val="20"/>
                <w:szCs w:val="20"/>
                <w:color w:val="auto"/>
              </w:rPr>
              <w:t>Unsecured senior notes, at 6.375%, due February 1, 2031 ("2031 Notes")</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500,000</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500,000</w:t>
            </w:r>
          </w:p>
        </w:tc>
      </w:tr>
      <w:tr>
        <w:trPr>
          <w:trHeight w:val="280"/>
        </w:trPr>
        <w:tc>
          <w:tcPr>
            <w:tcW w:w="60" w:type="dxa"/>
            <w:vAlign w:val="bottom"/>
            <w:tcBorders>
              <w:bottom w:val="single" w:sz="8" w:color="E6E6E6"/>
            </w:tcBorders>
            <w:shd w:val="clear" w:color="auto" w:fill="E6E6E6"/>
          </w:tcPr>
          <w:p>
            <w:pPr>
              <w:spacing w:after="0"/>
              <w:rPr>
                <w:sz w:val="24"/>
                <w:szCs w:val="24"/>
                <w:color w:val="auto"/>
              </w:rPr>
            </w:pPr>
          </w:p>
        </w:tc>
        <w:tc>
          <w:tcPr>
            <w:tcW w:w="662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20"/>
                <w:szCs w:val="20"/>
                <w:color w:val="auto"/>
              </w:rPr>
              <w:t>Long-term debt, at par</w:t>
            </w:r>
          </w:p>
        </w:tc>
        <w:tc>
          <w:tcPr>
            <w:tcW w:w="180" w:type="dxa"/>
            <w:vAlign w:val="bottom"/>
            <w:tcBorders>
              <w:bottom w:val="single" w:sz="8" w:color="auto"/>
            </w:tcBorders>
            <w:shd w:val="clear" w:color="auto" w:fill="E6E6E6"/>
          </w:tcPr>
          <w:p>
            <w:pPr>
              <w:spacing w:after="0"/>
              <w:rPr>
                <w:sz w:val="24"/>
                <w:szCs w:val="24"/>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2,794,796</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2,315,000</w:t>
            </w:r>
          </w:p>
        </w:tc>
      </w:tr>
      <w:tr>
        <w:trPr>
          <w:trHeight w:val="241"/>
        </w:trPr>
        <w:tc>
          <w:tcPr>
            <w:tcW w:w="60" w:type="dxa"/>
            <w:vAlign w:val="bottom"/>
            <w:tcBorders>
              <w:bottom w:val="single" w:sz="8" w:color="E6E6E6"/>
            </w:tcBorders>
          </w:tcPr>
          <w:p>
            <w:pPr>
              <w:spacing w:after="0"/>
              <w:rPr>
                <w:sz w:val="20"/>
                <w:szCs w:val="20"/>
                <w:color w:val="auto"/>
              </w:rPr>
            </w:pPr>
          </w:p>
        </w:tc>
        <w:tc>
          <w:tcPr>
            <w:tcW w:w="6620" w:type="dxa"/>
            <w:vAlign w:val="bottom"/>
            <w:tcBorders>
              <w:bottom w:val="single" w:sz="8" w:color="E6E6E6"/>
            </w:tcBorders>
            <w:gridSpan w:val="3"/>
          </w:tcPr>
          <w:p>
            <w:pPr>
              <w:spacing w:after="0"/>
              <w:rPr>
                <w:sz w:val="20"/>
                <w:szCs w:val="20"/>
                <w:color w:val="auto"/>
              </w:rPr>
            </w:pPr>
            <w:r>
              <w:rPr>
                <w:rFonts w:ascii="Arial" w:cs="Arial" w:eastAsia="Arial" w:hAnsi="Arial"/>
                <w:sz w:val="20"/>
                <w:szCs w:val="20"/>
                <w:color w:val="auto"/>
              </w:rPr>
              <w:t>Unamortized debt issuance costs and discount, net</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(23,679)</w:t>
            </w:r>
          </w:p>
        </w:tc>
        <w:tc>
          <w:tcPr>
            <w:tcW w:w="6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(23,283)</w:t>
            </w:r>
          </w:p>
        </w:tc>
      </w:tr>
      <w:tr>
        <w:trPr>
          <w:trHeight w:val="280"/>
        </w:trPr>
        <w:tc>
          <w:tcPr>
            <w:tcW w:w="60" w:type="dxa"/>
            <w:vAlign w:val="bottom"/>
            <w:tcBorders>
              <w:bottom w:val="single" w:sz="8" w:color="E6E6E6"/>
            </w:tcBorders>
            <w:shd w:val="clear" w:color="auto" w:fill="E6E6E6"/>
          </w:tcPr>
          <w:p>
            <w:pPr>
              <w:spacing w:after="0"/>
              <w:rPr>
                <w:sz w:val="24"/>
                <w:szCs w:val="24"/>
                <w:color w:val="auto"/>
              </w:rPr>
            </w:pPr>
          </w:p>
        </w:tc>
        <w:tc>
          <w:tcPr>
            <w:tcW w:w="662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20"/>
                <w:szCs w:val="20"/>
                <w:color w:val="auto"/>
              </w:rPr>
              <w:t>Long-term debt, at carrying value</w:t>
            </w: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2,771,117</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2,291,717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-1647190</wp:posOffset>
            </wp:positionV>
            <wp:extent cx="2192020"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92020" cy="5016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-43180</wp:posOffset>
            </wp:positionV>
            <wp:extent cx="2192020" cy="50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92020" cy="50165"/>
                    </a:xfrm>
                    <a:prstGeom prst="rect">
                      <a:avLst/>
                    </a:prstGeom>
                    <a:noFill/>
                  </pic:spPr>
                </pic:pic>
              </a:graphicData>
            </a:graphic>
          </wp:anchor>
        </w:drawing>
      </w:r>
    </w:p>
    <w:p>
      <w:pPr>
        <w:spacing w:after="0" w:line="145" w:lineRule="exact"/>
        <w:rPr>
          <w:sz w:val="20"/>
          <w:szCs w:val="20"/>
          <w:color w:val="auto"/>
        </w:rPr>
      </w:pPr>
    </w:p>
    <w:p>
      <w:pPr>
        <w:ind w:right="60" w:firstLine="709"/>
        <w:spacing w:after="0" w:line="289" w:lineRule="auto"/>
        <w:rPr>
          <w:sz w:val="20"/>
          <w:szCs w:val="20"/>
          <w:color w:val="auto"/>
        </w:rPr>
      </w:pPr>
      <w:r>
        <w:rPr>
          <w:rFonts w:ascii="Arial" w:cs="Arial" w:eastAsia="Arial" w:hAnsi="Arial"/>
          <w:sz w:val="18"/>
          <w:szCs w:val="18"/>
          <w:color w:val="auto"/>
        </w:rPr>
        <w:t>As of December 31, 2024 and 2023, the estimated fair value of the Company’s outstanding long-term debt, including the current portion, was $2.8 billion and $2.3 billion, respectively.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sections below will outline the key terms of the outstanding debt, including any changes occurring during the</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period:</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Secured Senior Term Loans</w:t>
      </w:r>
    </w:p>
    <w:p>
      <w:pPr>
        <w:spacing w:after="0" w:line="167" w:lineRule="exact"/>
        <w:rPr>
          <w:sz w:val="20"/>
          <w:szCs w:val="20"/>
          <w:color w:val="auto"/>
        </w:rPr>
      </w:pPr>
    </w:p>
    <w:p>
      <w:pPr>
        <w:jc w:val="both"/>
        <w:ind w:right="80" w:firstLine="709"/>
        <w:spacing w:after="0" w:line="256" w:lineRule="auto"/>
        <w:rPr>
          <w:sz w:val="20"/>
          <w:szCs w:val="20"/>
          <w:color w:val="auto"/>
        </w:rPr>
      </w:pPr>
      <w:r>
        <w:rPr>
          <w:rFonts w:ascii="Arial" w:cs="Arial" w:eastAsia="Arial" w:hAnsi="Arial"/>
          <w:sz w:val="20"/>
          <w:szCs w:val="20"/>
          <w:color w:val="auto"/>
        </w:rPr>
        <w:t>As of December 31, 2024, the Company had an aggregate principal amount outstanding of $1,464.9 million under the Sixth Amendment to the Company's existing Credit Agreement dated as of June 30, 2017 (the "Term Loan Agreement"). As of December 31, 2023, the Company had an aggregate principal amount outstanding of $980.0 million under Fourth Amendment to the Term Loan Agreement.</w:t>
      </w:r>
    </w:p>
    <w:p>
      <w:pPr>
        <w:spacing w:after="0" w:line="122" w:lineRule="exact"/>
        <w:rPr>
          <w:sz w:val="20"/>
          <w:szCs w:val="20"/>
          <w:color w:val="auto"/>
        </w:rPr>
      </w:pPr>
    </w:p>
    <w:p>
      <w:pPr>
        <w:ind w:right="20" w:firstLine="709"/>
        <w:spacing w:after="0" w:line="265" w:lineRule="auto"/>
        <w:rPr>
          <w:sz w:val="20"/>
          <w:szCs w:val="20"/>
          <w:color w:val="auto"/>
        </w:rPr>
      </w:pPr>
      <w:r>
        <w:rPr>
          <w:rFonts w:ascii="Arial" w:cs="Arial" w:eastAsia="Arial" w:hAnsi="Arial"/>
          <w:sz w:val="19"/>
          <w:szCs w:val="19"/>
          <w:color w:val="auto"/>
        </w:rPr>
        <w:t>On March 22, 2024, the Term Loan Agreement was amended (the “Fifth Amendment”), to provide for the incurrence of additional term loans (the “2024 Incremental Term Loans”) under the Term Loan Agreement in the aggregate principal amount of $500.0 million. Proceeds from the issuance of the 2024 Incremental Term Loans were $491.1 million after debt discount and debt issuance costs, and were used to fund the acquisition of HEPACO, with the excess increasing the Company’s cash balances. The 2024 Incremental Term Loans are in addition to the aggregate of $980.0 million of term loans (the “Existing Term Loans”) which were outstanding prior to the issuance of the 2024 Incremental Term Loans. The total amount outstanding under the Term Loans as December 31, 2024 will mature on October 8, 2028, and may be prepaid at any time without premium or penalty other than customary breakage costs.</w:t>
      </w:r>
    </w:p>
    <w:p>
      <w:pPr>
        <w:spacing w:after="0" w:line="119" w:lineRule="exact"/>
        <w:rPr>
          <w:sz w:val="20"/>
          <w:szCs w:val="20"/>
          <w:color w:val="auto"/>
        </w:rPr>
      </w:pPr>
    </w:p>
    <w:p>
      <w:pPr>
        <w:ind w:right="160" w:firstLine="709"/>
        <w:spacing w:after="0" w:line="274" w:lineRule="auto"/>
        <w:rPr>
          <w:sz w:val="20"/>
          <w:szCs w:val="20"/>
          <w:color w:val="auto"/>
        </w:rPr>
      </w:pPr>
      <w:r>
        <w:rPr>
          <w:rFonts w:ascii="Arial" w:cs="Arial" w:eastAsia="Arial" w:hAnsi="Arial"/>
          <w:sz w:val="18"/>
          <w:szCs w:val="18"/>
          <w:color w:val="auto"/>
        </w:rPr>
        <w:t>Interest under the Term Loan Agreement is paid monthly. On October 8, 2024, the Company entered into the Sixth Amendment to the Term Loan Agreement (the “Sixth Amendment”). The Sixth Amendment (i) eliminated the Term SOFR adjustment of 0.11448% per annum and (ii) reset the six month soft call period for a repricing of the 2028 Term Loans. Under the Sixth Amendment, the applicable interest rate margins for the Term Loans is either 1.75% for Term SOFR borrowings or</w:t>
      </w:r>
    </w:p>
    <w:p>
      <w:pPr>
        <w:ind w:right="80"/>
        <w:spacing w:after="0" w:line="268" w:lineRule="auto"/>
        <w:rPr>
          <w:sz w:val="20"/>
          <w:szCs w:val="20"/>
          <w:color w:val="auto"/>
        </w:rPr>
      </w:pPr>
      <w:r>
        <w:rPr>
          <w:rFonts w:ascii="Arial" w:cs="Arial" w:eastAsia="Arial" w:hAnsi="Arial"/>
          <w:sz w:val="19"/>
          <w:szCs w:val="19"/>
          <w:color w:val="auto"/>
        </w:rPr>
        <w:t>0.75% for base rate borrowings, at the Company’s election. The Term Loans may be prepaid at any time without premium or penalty other than customary breakage costs or if the Company engages in certain repricing transactions before April 8, 2025, in which event a 1.0% prepayment premium would be due. The Term SOFR Rate is subject to a floor of 0.00% and the Base Rate is subject to a floor of 1.00%. The Term Loan Agreement provides for Term SOFR adjustments for other interest periods; however, the Company elects one-month Term SOFR for interest payments on that debt resulting in total interest on the 2028 Term Loans of one-month Term SOFR plus 1.75%.</w:t>
      </w:r>
    </w:p>
    <w:p>
      <w:pPr>
        <w:spacing w:after="0" w:line="112" w:lineRule="exact"/>
        <w:rPr>
          <w:sz w:val="20"/>
          <w:szCs w:val="20"/>
          <w:color w:val="auto"/>
        </w:rPr>
      </w:pPr>
    </w:p>
    <w:p>
      <w:pPr>
        <w:ind w:right="240" w:firstLine="709"/>
        <w:spacing w:after="0" w:line="333" w:lineRule="auto"/>
        <w:rPr>
          <w:sz w:val="20"/>
          <w:szCs w:val="20"/>
          <w:color w:val="auto"/>
        </w:rPr>
      </w:pPr>
      <w:r>
        <w:rPr>
          <w:rFonts w:ascii="Arial" w:cs="Arial" w:eastAsia="Arial" w:hAnsi="Arial"/>
          <w:sz w:val="18"/>
          <w:szCs w:val="18"/>
          <w:color w:val="auto"/>
        </w:rPr>
        <w:t>Prior to the Sixth Amendment on October 8, 2024, the margin on the Term Loans also included a credit spread adjustment of 0.11448% for all one-month Term SOFR payments. Additionally, prior to December 27, 2023, the interest rate</w:t>
      </w:r>
    </w:p>
    <w:p>
      <w:pPr>
        <w:sectPr>
          <w:pgSz w:w="11880" w:h="15480" w:orient="portrait"/>
          <w:cols w:equalWidth="0" w:num="1">
            <w:col w:w="10100"/>
          </w:cols>
          <w:pgMar w:left="880" w:top="338" w:right="90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880" w:h="15480" w:orient="portrait"/>
          <w:cols w:equalWidth="0" w:num="1">
            <w:col w:w="10100"/>
          </w:cols>
          <w:pgMar w:left="880" w:top="338" w:right="900" w:bottom="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margins for the Term Loans were 0.25% higher. The rates were lowered by 25 basis points through the Fourth Amendment of the Term Loans. Each of these amendments resulted in minimal amounts being recognized as a loss on the early extinguishment of debt in the Company’s Consolidated Statement of Operations.</w:t>
      </w:r>
    </w:p>
    <w:p>
      <w:pPr>
        <w:spacing w:after="0" w:line="116" w:lineRule="exact"/>
        <w:rPr>
          <w:sz w:val="20"/>
          <w:szCs w:val="20"/>
          <w:color w:val="auto"/>
        </w:rPr>
      </w:pPr>
    </w:p>
    <w:p>
      <w:pPr>
        <w:ind w:right="720" w:firstLine="709"/>
        <w:spacing w:after="0" w:line="405" w:lineRule="auto"/>
        <w:rPr>
          <w:sz w:val="20"/>
          <w:szCs w:val="20"/>
          <w:color w:val="auto"/>
        </w:rPr>
      </w:pPr>
      <w:r>
        <w:rPr>
          <w:rFonts w:ascii="Arial" w:cs="Arial" w:eastAsia="Arial" w:hAnsi="Arial"/>
          <w:sz w:val="16"/>
          <w:szCs w:val="16"/>
          <w:color w:val="auto"/>
        </w:rPr>
        <w:t>The Company's obligations under the Term Loan Agreement are guaranteed by all of the Company's domestic restricted subsidiaries and secured by the liens on substantially all of the assets of the Company and the guarantors.</w:t>
      </w:r>
    </w:p>
    <w:p>
      <w:pPr>
        <w:spacing w:after="0" w:line="6"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Unsecured Senior Notes</w:t>
      </w:r>
    </w:p>
    <w:p>
      <w:pPr>
        <w:spacing w:after="0" w:line="167" w:lineRule="exact"/>
        <w:rPr>
          <w:sz w:val="20"/>
          <w:szCs w:val="20"/>
          <w:color w:val="auto"/>
        </w:rPr>
      </w:pPr>
    </w:p>
    <w:p>
      <w:pPr>
        <w:ind w:firstLine="709"/>
        <w:spacing w:after="0" w:line="256" w:lineRule="auto"/>
        <w:rPr>
          <w:sz w:val="20"/>
          <w:szCs w:val="20"/>
          <w:color w:val="auto"/>
        </w:rPr>
      </w:pPr>
      <w:r>
        <w:rPr>
          <w:rFonts w:ascii="Arial" w:cs="Arial" w:eastAsia="Arial" w:hAnsi="Arial"/>
          <w:sz w:val="20"/>
          <w:szCs w:val="20"/>
          <w:color w:val="auto"/>
        </w:rPr>
        <w:t>On July 2, 2019, the Company completed a private placement of $545.0 million aggregate principal amount of 2027 Notes and $300.0 million aggregate principal amount of 2029 Notes. The 2027 Notes will mature on July 15, 2027 and the 2029 Notes will mature on July 15, 2029. Interest payments on the 2027 and 2029 Notes are paid semiannually on January 15 and July 15.</w:t>
      </w:r>
    </w:p>
    <w:p>
      <w:pPr>
        <w:spacing w:after="0" w:line="122" w:lineRule="exact"/>
        <w:rPr>
          <w:sz w:val="20"/>
          <w:szCs w:val="20"/>
          <w:color w:val="auto"/>
        </w:rPr>
      </w:pPr>
    </w:p>
    <w:p>
      <w:pPr>
        <w:ind w:right="160" w:firstLine="709"/>
        <w:spacing w:after="0" w:line="293" w:lineRule="auto"/>
        <w:rPr>
          <w:sz w:val="20"/>
          <w:szCs w:val="20"/>
          <w:color w:val="auto"/>
        </w:rPr>
      </w:pPr>
      <w:r>
        <w:rPr>
          <w:rFonts w:ascii="Arial" w:cs="Arial" w:eastAsia="Arial" w:hAnsi="Arial"/>
          <w:sz w:val="18"/>
          <w:szCs w:val="18"/>
          <w:color w:val="auto"/>
        </w:rPr>
        <w:t>On January 24, 2023, the Company completed a private placement of $500.0 million aggregate principal amount of 2031 Notes which will mature on February 1, 2031 (collectively referred to with the 2027 Notes and 2029 Notes as the "Notes"). The proceeds from this were used toward the repayment of the Term Loans outstanding at the time. The interest rate on the 2031 Notes is paid semiannually on February 1 and August 1 of each year and commenced on August 1, 2023.</w:t>
      </w:r>
    </w:p>
    <w:p>
      <w:pPr>
        <w:spacing w:after="0" w:line="92" w:lineRule="exact"/>
        <w:rPr>
          <w:sz w:val="20"/>
          <w:szCs w:val="20"/>
          <w:color w:val="auto"/>
        </w:rPr>
      </w:pPr>
    </w:p>
    <w:p>
      <w:pPr>
        <w:ind w:right="160" w:firstLine="709"/>
        <w:spacing w:after="0" w:line="303" w:lineRule="auto"/>
        <w:rPr>
          <w:sz w:val="20"/>
          <w:szCs w:val="20"/>
          <w:color w:val="auto"/>
        </w:rPr>
      </w:pPr>
      <w:r>
        <w:rPr>
          <w:rFonts w:ascii="Arial" w:cs="Arial" w:eastAsia="Arial" w:hAnsi="Arial"/>
          <w:sz w:val="19"/>
          <w:szCs w:val="19"/>
          <w:color w:val="auto"/>
        </w:rPr>
        <w:t>The tables below depict the redemption prices of the Notes if redeemed during the twelve-month period commencing on the dates below, plus accrued and unpaid interest, if any, to but not including the redemption date.</w:t>
      </w:r>
    </w:p>
    <w:p>
      <w:pPr>
        <w:sectPr>
          <w:pgSz w:w="11880" w:h="15480" w:orient="portrait"/>
          <w:cols w:equalWidth="0" w:num="1">
            <w:col w:w="10120"/>
          </w:cols>
          <w:pgMar w:left="880" w:top="338" w:right="880" w:bottom="0" w:gutter="0" w:footer="0" w:header="0"/>
        </w:sectPr>
      </w:pPr>
    </w:p>
    <w:p>
      <w:pPr>
        <w:spacing w:after="0" w:line="11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2027 Notes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July 15, 2024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6417310" cy="165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17310" cy="165735"/>
                    </a:xfrm>
                    <a:prstGeom prst="rect">
                      <a:avLst/>
                    </a:prstGeom>
                    <a:noFill/>
                  </pic:spPr>
                </pic:pic>
              </a:graphicData>
            </a:graphic>
          </wp:anchor>
        </w:drawing>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2029 Notes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20"/>
          <w:szCs w:val="20"/>
          <w:color w:val="auto"/>
        </w:rPr>
        <w:t>July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6417310" cy="165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7310" cy="16573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20"/>
          <w:szCs w:val="20"/>
          <w:color w:val="auto"/>
        </w:rPr>
        <w:t>July 15, 2025</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9"/>
          <w:szCs w:val="19"/>
          <w:color w:val="auto"/>
        </w:rPr>
        <w:t>July 15, 2026 and thereafter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-125730</wp:posOffset>
                </wp:positionV>
                <wp:extent cx="6417310" cy="15875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7310" cy="158750"/>
                        </a:xfrm>
                        <a:prstGeom prst="rect">
                          <a:avLst/>
                        </a:prstGeom>
                        <a:solidFill>
                          <a:srgbClr val="E6E6E6"/>
                        </a:solidFill>
                      </wps:spPr>
                      <wps:bodyPr/>
                    </wps:wsp>
                  </a:graphicData>
                </a:graphic>
              </wp:anchor>
            </w:drawing>
          </mc:Choice>
          <mc:Fallback>
            <w:pict>
              <v:rect id="Shape 94" o:spid="_x0000_s1119" style="position:absolute;margin-left:0.35pt;margin-top:-9.8999pt;width:505.3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2031 Notes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20"/>
          <w:szCs w:val="20"/>
          <w:color w:val="auto"/>
        </w:rPr>
        <w:t>February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6417310" cy="165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1">
                      <a:extLst>
                        <a:ext uri="{28A0092B-C50C-407E-A947-70E740481C1C}"/>
                      </a:extLst>
                    </a:blip>
                    <a:srcRect/>
                    <a:stretch>
                      <a:fillRect/>
                    </a:stretch>
                  </pic:blipFill>
                  <pic:spPr bwMode="auto">
                    <a:xfrm>
                      <a:off x="0" y="0"/>
                      <a:ext cx="6417310" cy="16573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20"/>
          <w:szCs w:val="20"/>
          <w:color w:val="auto"/>
        </w:rPr>
        <w:t>February 1, 2027</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 2028 and thereafter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-104140</wp:posOffset>
                </wp:positionV>
                <wp:extent cx="6417310" cy="15875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7310" cy="158750"/>
                        </a:xfrm>
                        <a:prstGeom prst="rect">
                          <a:avLst/>
                        </a:prstGeom>
                        <a:solidFill>
                          <a:srgbClr val="E6E6E6"/>
                        </a:solidFill>
                      </wps:spPr>
                      <wps:bodyPr/>
                    </wps:wsp>
                  </a:graphicData>
                </a:graphic>
              </wp:anchor>
            </w:drawing>
          </mc:Choice>
          <mc:Fallback>
            <w:pict>
              <v:rect id="Shape 96" o:spid="_x0000_s1121" style="position:absolute;margin-left:0.35pt;margin-top:-8.1999pt;width:505.3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Percentage</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100.000 %</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Percentage</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102.563 %</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101.281 %</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100.000 %</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Percentage</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103.188 %</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101.594 %</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100.000 %</w:t>
      </w:r>
    </w:p>
    <w:p>
      <w:pPr>
        <w:spacing w:after="0" w:line="175" w:lineRule="exact"/>
        <w:rPr>
          <w:sz w:val="20"/>
          <w:szCs w:val="20"/>
          <w:color w:val="auto"/>
        </w:rPr>
      </w:pPr>
    </w:p>
    <w:p>
      <w:pPr>
        <w:sectPr>
          <w:pgSz w:w="11880" w:h="15480" w:orient="portrait"/>
          <w:cols w:equalWidth="0" w:num="2">
            <w:col w:w="8260" w:space="720"/>
            <w:col w:w="1140"/>
          </w:cols>
          <w:pgMar w:left="880" w:top="338" w:right="880" w:bottom="0" w:gutter="0" w:footer="0" w:header="0"/>
          <w:type w:val="continuous"/>
        </w:sectPr>
      </w:pPr>
    </w:p>
    <w:p>
      <w:pPr>
        <w:jc w:val="both"/>
        <w:ind w:right="240" w:firstLine="709"/>
        <w:spacing w:after="0" w:line="261" w:lineRule="auto"/>
        <w:rPr>
          <w:sz w:val="20"/>
          <w:szCs w:val="20"/>
          <w:color w:val="auto"/>
        </w:rPr>
      </w:pPr>
      <w:r>
        <w:rPr>
          <w:rFonts w:ascii="Arial" w:cs="Arial" w:eastAsia="Arial" w:hAnsi="Arial"/>
          <w:sz w:val="20"/>
          <w:szCs w:val="20"/>
          <w:color w:val="auto"/>
        </w:rPr>
        <w:t>The Company may also redeem all or any portion of the 2031 Notes prior to February 1, 2026, at a redemption price equal to 100% of the principal amount redeemed plus a make whole premium as of the date of redemption including accrued and unpaid interest, if any, up to but not including the date of redemption.</w:t>
      </w:r>
    </w:p>
    <w:p>
      <w:pPr>
        <w:spacing w:after="0" w:line="116" w:lineRule="exact"/>
        <w:rPr>
          <w:sz w:val="20"/>
          <w:szCs w:val="20"/>
          <w:color w:val="auto"/>
        </w:rPr>
      </w:pPr>
    </w:p>
    <w:p>
      <w:pPr>
        <w:jc w:val="both"/>
        <w:ind w:right="40" w:firstLine="758"/>
        <w:spacing w:after="0" w:line="356" w:lineRule="auto"/>
        <w:rPr>
          <w:sz w:val="20"/>
          <w:szCs w:val="20"/>
          <w:color w:val="auto"/>
        </w:rPr>
      </w:pPr>
      <w:r>
        <w:rPr>
          <w:rFonts w:ascii="Arial" w:cs="Arial" w:eastAsia="Arial" w:hAnsi="Arial"/>
          <w:sz w:val="16"/>
          <w:szCs w:val="16"/>
          <w:color w:val="auto"/>
        </w:rPr>
        <w:t>Additionally, subject to certain limitations, prior to February 1, 2026, the Company may use net cash proceeds of one or more equity offerings to redeem up to 40% in aggregate principal of the 2031 Notes at a redemption price equal to 106.375% of the principal amount thereof plus accrued and unpaid interest thereon, if any, up to but not including the date of redemption.</w:t>
      </w:r>
    </w:p>
    <w:p>
      <w:pPr>
        <w:spacing w:after="0" w:line="48" w:lineRule="exact"/>
        <w:rPr>
          <w:sz w:val="20"/>
          <w:szCs w:val="20"/>
          <w:color w:val="auto"/>
        </w:rPr>
      </w:pPr>
    </w:p>
    <w:p>
      <w:pPr>
        <w:ind w:right="220" w:firstLine="709"/>
        <w:spacing w:after="0" w:line="270" w:lineRule="auto"/>
        <w:rPr>
          <w:sz w:val="20"/>
          <w:szCs w:val="20"/>
          <w:color w:val="auto"/>
        </w:rPr>
      </w:pPr>
      <w:r>
        <w:rPr>
          <w:rFonts w:ascii="Arial" w:cs="Arial" w:eastAsia="Arial" w:hAnsi="Arial"/>
          <w:sz w:val="19"/>
          <w:szCs w:val="19"/>
          <w:color w:val="auto"/>
        </w:rPr>
        <w:t>The Notes and the related indentures contain various customary non-financial covenants and are guaranteed by substantially all of the Company’s current and future domestic subsidiaries. The Notes are effectively subordinated to the Company's Term Loans, revolving credit facility and finance lease obligations to the extent of the value of the assets securing such secured indebtedness. The Notes are also effectively subordinated to all indebtedness and other liabilities of the Company's subsidiaries that are not guarantors of the Notes.</w:t>
      </w:r>
    </w:p>
    <w:p>
      <w:pPr>
        <w:spacing w:after="0" w:line="10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67" w:lineRule="exact"/>
        <w:rPr>
          <w:sz w:val="20"/>
          <w:szCs w:val="20"/>
          <w:color w:val="auto"/>
        </w:rPr>
      </w:pPr>
    </w:p>
    <w:p>
      <w:pPr>
        <w:ind w:right="40" w:firstLine="709"/>
        <w:spacing w:after="0" w:line="322" w:lineRule="auto"/>
        <w:rPr>
          <w:sz w:val="20"/>
          <w:szCs w:val="20"/>
          <w:color w:val="auto"/>
        </w:rPr>
      </w:pPr>
      <w:r>
        <w:rPr>
          <w:rFonts w:ascii="Arial" w:cs="Arial" w:eastAsia="Arial" w:hAnsi="Arial"/>
          <w:sz w:val="16"/>
          <w:szCs w:val="16"/>
          <w:color w:val="auto"/>
        </w:rPr>
        <w:t>On June 28, 2024, the Company and one of the Company’s Canadian subsidiaries (the “Canadian Borrower”) entered into a seventh amended and restated credit agreement (the “Amended Credit Agreement”) with Bank of America, N.A., as administrative agent, and the lenders party to the Amended Credit Agreement. The Amended Credit Agreement amended and restated the sixth amended and restated credit agreement dated October 28, 2020 (the “Prior Credit Agreement”). Under the Amended Credit Agreement, the Company has the right to obtain revolving loans and letters of credit for a combined maximum of up to $550.0 million (with a sub-limit of $250.0 million for letters of credit) and the Canadian Borrower has the right to obtain revolving loans and letters of credit for a combined maximum of up to $50.0 million. The maximum borrowing amount of $600.0 million under the Amended Credit Agreement is increased from $400.0 million under the Prior Credit Agreement.</w:t>
      </w:r>
    </w:p>
    <w:p>
      <w:pPr>
        <w:sectPr>
          <w:pgSz w:w="11880" w:h="15480" w:orient="portrait"/>
          <w:cols w:equalWidth="0" w:num="1">
            <w:col w:w="10120"/>
          </w:cols>
          <w:pgMar w:left="880" w:top="338" w:right="880" w:bottom="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880" w:h="15480" w:orient="portrait"/>
          <w:cols w:equalWidth="0" w:num="1">
            <w:col w:w="10120"/>
          </w:cols>
          <w:pgMar w:left="880" w:top="338" w:right="880" w:bottom="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60" w:firstLine="709"/>
        <w:spacing w:after="0" w:line="265" w:lineRule="auto"/>
        <w:rPr>
          <w:sz w:val="20"/>
          <w:szCs w:val="20"/>
          <w:color w:val="auto"/>
        </w:rPr>
      </w:pPr>
      <w:r>
        <w:rPr>
          <w:rFonts w:ascii="Arial" w:cs="Arial" w:eastAsia="Arial" w:hAnsi="Arial"/>
          <w:sz w:val="19"/>
          <w:szCs w:val="19"/>
          <w:color w:val="auto"/>
        </w:rPr>
        <w:t>Borrowings by the Company under the Amended Credit Agreement will bear interest at the Company’s option, at either (i) the sum of Term SOFR plus a SOFR Adjustment of 0.1% plus 1.5% per annum, or (ii) the U.S. Base Rate, plus 0.5% per annum, and borrowings by the Canadian Borrower will bear interest, at the Company’s option, at either (i) the sum of Term CORRA plus a Term CORRA adjustment of either 0.29547% or 0.32138% for the one or three month interest period respectively, plus 1.5% per annum, (ii) the Canadian Prime Rate, plus 0.5% per annum, or (iii) the Canadian Base Rate, plus 0.5% per annum, as those terms are defined in the Amended Credit Agreement. Other terms under the Amended Credit Agreement are substantially the same as under the Prior Credit Agreement. Subject to certain customary conditions, the facility will expire on June 28, 2029.</w:t>
      </w:r>
    </w:p>
    <w:p>
      <w:pPr>
        <w:spacing w:after="0" w:line="119" w:lineRule="exact"/>
        <w:rPr>
          <w:sz w:val="20"/>
          <w:szCs w:val="20"/>
          <w:color w:val="auto"/>
        </w:rPr>
      </w:pPr>
    </w:p>
    <w:p>
      <w:pPr>
        <w:ind w:right="40" w:firstLine="709"/>
        <w:spacing w:after="0" w:line="279" w:lineRule="auto"/>
        <w:rPr>
          <w:sz w:val="20"/>
          <w:szCs w:val="20"/>
          <w:color w:val="auto"/>
        </w:rPr>
      </w:pPr>
      <w:r>
        <w:rPr>
          <w:rFonts w:ascii="Arial" w:cs="Arial" w:eastAsia="Arial" w:hAnsi="Arial"/>
          <w:sz w:val="18"/>
          <w:szCs w:val="18"/>
          <w:color w:val="auto"/>
        </w:rPr>
        <w:t>On April 28, 2023, the Company entered into an amendment to the credit agreement for the revolving credit facility. As amended, the terms of the agreement are substantially the same as prior to the amendment except for certain updates required to transition the agreement to include a defined LIBOR successor rate. Under the amended agreement, borrowings under the revolving credit facility will bear interest at a rate, at the Company’s option, of either (i) “Term SOFR” (as defined in the amended agreement) plus an applicable margin ranging from 1.50% to 1.75% per annum based primarily on the level of the Company’s average liquidity for the most recent 30 day period or (ii) BofA’s base rate plus an applicable margin ranging from 0.50% to 0.75% per annum based primarily on such average liquidity. The amended agreement also continues to provide (i) for an unused line fee payable to the lenders, calculated on the then unused portion of the lenders’ $400.0 million maximum commitments, ranging from 0.25% to 0.375% per annum of the unused commitment, and (ii) for outstanding letters of credit, a fee payable to the lenders equal to the then applicable margin for Term SOFR borrowings described above, and to the issuing banks a standard fronting fee and customary fees and charges in connection with all amendments, extensions, draws and other actions with respect to letters of credit.</w:t>
      </w:r>
    </w:p>
    <w:p>
      <w:pPr>
        <w:spacing w:after="0" w:line="107" w:lineRule="exact"/>
        <w:rPr>
          <w:sz w:val="20"/>
          <w:szCs w:val="20"/>
          <w:color w:val="auto"/>
        </w:rPr>
      </w:pPr>
    </w:p>
    <w:p>
      <w:pPr>
        <w:ind w:firstLine="709"/>
        <w:spacing w:after="0" w:line="276" w:lineRule="auto"/>
        <w:rPr>
          <w:sz w:val="20"/>
          <w:szCs w:val="20"/>
          <w:color w:val="auto"/>
        </w:rPr>
      </w:pPr>
      <w:r>
        <w:rPr>
          <w:rFonts w:ascii="Arial" w:cs="Arial" w:eastAsia="Arial" w:hAnsi="Arial"/>
          <w:sz w:val="20"/>
          <w:szCs w:val="20"/>
          <w:color w:val="auto"/>
        </w:rPr>
        <w:t>Letters of credit issued under the revolving credit facility are utilized primarily as security for the Company's insurance program that includes casualty and financial assurance.</w:t>
      </w:r>
    </w:p>
    <w:p>
      <w:pPr>
        <w:spacing w:after="0" w:line="101" w:lineRule="exact"/>
        <w:rPr>
          <w:sz w:val="20"/>
          <w:szCs w:val="20"/>
          <w:color w:val="auto"/>
        </w:rPr>
      </w:pPr>
    </w:p>
    <w:p>
      <w:pPr>
        <w:ind w:right="100" w:firstLine="709"/>
        <w:spacing w:after="0" w:line="254" w:lineRule="auto"/>
        <w:rPr>
          <w:sz w:val="20"/>
          <w:szCs w:val="20"/>
          <w:color w:val="auto"/>
        </w:rPr>
      </w:pPr>
      <w:r>
        <w:rPr>
          <w:rFonts w:ascii="Arial" w:cs="Arial" w:eastAsia="Arial" w:hAnsi="Arial"/>
          <w:sz w:val="20"/>
          <w:szCs w:val="20"/>
          <w:color w:val="auto"/>
        </w:rPr>
        <w:t>The Company’s obligations under the revolving credit facility (including revolving loans and reimbursement obligations for outstanding letters of credit) are guaranteed by substantially all of the Company’s U.S. subsidiaries and secured by a first lien on the Company’s and its U.S. subsidiaries’ accounts receivable. The Canadian Borrower’s obligations under the facility are guaranteed by substantially all of the Company’s Canadian subsidiaries and secured by a first lien on the accounts receivable of the Canadian subsidiaries.</w:t>
      </w:r>
    </w:p>
    <w:p>
      <w:pPr>
        <w:spacing w:after="0" w:line="123" w:lineRule="exact"/>
        <w:rPr>
          <w:sz w:val="20"/>
          <w:szCs w:val="20"/>
          <w:color w:val="auto"/>
        </w:rPr>
      </w:pPr>
    </w:p>
    <w:p>
      <w:pPr>
        <w:ind w:right="220" w:firstLine="709"/>
        <w:spacing w:after="0" w:line="261" w:lineRule="auto"/>
        <w:rPr>
          <w:sz w:val="20"/>
          <w:szCs w:val="20"/>
          <w:color w:val="auto"/>
        </w:rPr>
      </w:pPr>
      <w:r>
        <w:rPr>
          <w:rFonts w:ascii="Arial" w:cs="Arial" w:eastAsia="Arial" w:hAnsi="Arial"/>
          <w:sz w:val="20"/>
          <w:szCs w:val="20"/>
          <w:color w:val="auto"/>
        </w:rPr>
        <w:t>As of December 31, 2024, the revolving credit facility had no outstanding loan balances, $470.0 million available to borrow and outstanding letters of credit of $130.0 million. The Company also had no outstanding loan balances as of December 31, 2023.</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Hedges</w:t>
      </w:r>
    </w:p>
    <w:p>
      <w:pPr>
        <w:spacing w:after="0" w:line="171" w:lineRule="exact"/>
        <w:rPr>
          <w:sz w:val="20"/>
          <w:szCs w:val="20"/>
          <w:color w:val="auto"/>
        </w:rPr>
      </w:pPr>
    </w:p>
    <w:p>
      <w:pPr>
        <w:ind w:right="500" w:firstLine="709"/>
        <w:spacing w:after="0" w:line="276" w:lineRule="auto"/>
        <w:rPr>
          <w:sz w:val="20"/>
          <w:szCs w:val="20"/>
          <w:color w:val="auto"/>
        </w:rPr>
      </w:pPr>
      <w:r>
        <w:rPr>
          <w:rFonts w:ascii="Arial" w:cs="Arial" w:eastAsia="Arial" w:hAnsi="Arial"/>
          <w:sz w:val="20"/>
          <w:szCs w:val="20"/>
          <w:color w:val="auto"/>
        </w:rPr>
        <w:t>The Company's strategy to hedge against fluctuations in variable interest rates involves entering into interest rate derivative agreements.</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2022 Swap Arrangement</w:t>
      </w:r>
    </w:p>
    <w:p>
      <w:pPr>
        <w:spacing w:after="0" w:line="167" w:lineRule="exact"/>
        <w:rPr>
          <w:sz w:val="20"/>
          <w:szCs w:val="20"/>
          <w:color w:val="auto"/>
        </w:rPr>
      </w:pPr>
    </w:p>
    <w:p>
      <w:pPr>
        <w:ind w:right="100" w:firstLine="709"/>
        <w:spacing w:after="0" w:line="252" w:lineRule="auto"/>
        <w:rPr>
          <w:sz w:val="20"/>
          <w:szCs w:val="20"/>
          <w:color w:val="auto"/>
        </w:rPr>
      </w:pPr>
      <w:r>
        <w:rPr>
          <w:rFonts w:ascii="Arial" w:cs="Arial" w:eastAsia="Arial" w:hAnsi="Arial"/>
          <w:sz w:val="20"/>
          <w:szCs w:val="20"/>
          <w:color w:val="auto"/>
        </w:rPr>
        <w:t>In 2022, the Company entered into interest rate swap agreements with a notional amount of $600.0 million ("2022 Swaps") to effectively fix the interest rate on $600.0 million principal of the outstanding 2028 Term Loans. Under the terms of the 2022 Swaps' agreements, the Company receives interest based upon the variable rates on the 2028 Term Loans and pays a fixed amount of interest. The fixed rate on these instruments was 0.931% through June 30, 2023 which, together with the original 2.00% interest rate margin for the 2028 Term Loans, resulted in an effective annual interest rate of approximately 2.931%.</w:t>
      </w:r>
    </w:p>
    <w:p>
      <w:pPr>
        <w:spacing w:after="0" w:line="127" w:lineRule="exact"/>
        <w:rPr>
          <w:sz w:val="20"/>
          <w:szCs w:val="20"/>
          <w:color w:val="auto"/>
        </w:rPr>
      </w:pPr>
    </w:p>
    <w:p>
      <w:pPr>
        <w:ind w:right="60" w:firstLine="709"/>
        <w:spacing w:after="0" w:line="281" w:lineRule="auto"/>
        <w:rPr>
          <w:sz w:val="20"/>
          <w:szCs w:val="20"/>
          <w:color w:val="auto"/>
        </w:rPr>
      </w:pPr>
      <w:r>
        <w:rPr>
          <w:rFonts w:ascii="Arial" w:cs="Arial" w:eastAsia="Arial" w:hAnsi="Arial"/>
          <w:sz w:val="18"/>
          <w:szCs w:val="18"/>
          <w:color w:val="auto"/>
        </w:rPr>
        <w:t xml:space="preserve">The fixed rate on these instruments increased to 1.965% on July 1, 2023 and the variable rate became linked to Term SOFR to mirror the variable interest payments for the 2028 Term Loans. Including the 2.00% interest rate margin for borrowings on the 2028 Term Loans and the 0.11448% SOFR adjustment per the 2028 Term Loans, in effect at the time of this change, beginning July 1, 2023, the effective annual interest rate of this $600.0 million increased to 4.07898%. With the Fourth Amendment on December 27, 2023 the margin on the 2028 Term Loans decreased from 2.00% to 1.75%, and the effective annual interest rate on the swapped portion of 2028 Term Loans outstanding decreased to 3.82898%. With the Sixth Amendment on October 8, 2024 the SOFR adjustment was eliminated, and the effective annual interest rate on the swapped portion of 2028 Term Loans outstanding decreased to 3.71450%. The changes to the 2028 term loans described herein are discussed in the </w:t>
      </w:r>
      <w:r>
        <w:rPr>
          <w:rFonts w:ascii="Arial" w:cs="Arial" w:eastAsia="Arial" w:hAnsi="Arial"/>
          <w:sz w:val="18"/>
          <w:szCs w:val="18"/>
          <w:b w:val="1"/>
          <w:bCs w:val="1"/>
          <w:i w:val="1"/>
          <w:iCs w:val="1"/>
          <w:color w:val="auto"/>
        </w:rPr>
        <w:t>Secured Senior Term Loans</w:t>
      </w:r>
      <w:r>
        <w:rPr>
          <w:rFonts w:ascii="Arial" w:cs="Arial" w:eastAsia="Arial" w:hAnsi="Arial"/>
          <w:sz w:val="18"/>
          <w:szCs w:val="18"/>
          <w:color w:val="auto"/>
        </w:rPr>
        <w:t xml:space="preserve"> section above. The 2022 Swaps expire September 30, 2027.</w:t>
      </w:r>
    </w:p>
    <w:p>
      <w:pPr>
        <w:sectPr>
          <w:pgSz w:w="11880" w:h="15480" w:orient="portrait"/>
          <w:cols w:equalWidth="0" w:num="1">
            <w:col w:w="10100"/>
          </w:cols>
          <w:pgMar w:left="880" w:top="3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880" w:h="15480" w:orient="portrait"/>
          <w:cols w:equalWidth="0" w:num="1">
            <w:col w:w="10100"/>
          </w:cols>
          <w:pgMar w:left="880" w:top="338" w:right="900" w:bottom="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2018 Swap Arrangement</w:t>
      </w:r>
    </w:p>
    <w:p>
      <w:pPr>
        <w:spacing w:after="0" w:line="167" w:lineRule="exact"/>
        <w:rPr>
          <w:sz w:val="20"/>
          <w:szCs w:val="20"/>
          <w:color w:val="auto"/>
        </w:rPr>
      </w:pPr>
    </w:p>
    <w:p>
      <w:pPr>
        <w:ind w:right="40" w:firstLine="709"/>
        <w:spacing w:after="0" w:line="252" w:lineRule="auto"/>
        <w:rPr>
          <w:sz w:val="20"/>
          <w:szCs w:val="20"/>
          <w:color w:val="auto"/>
        </w:rPr>
      </w:pPr>
      <w:r>
        <w:rPr>
          <w:rFonts w:ascii="Arial" w:cs="Arial" w:eastAsia="Arial" w:hAnsi="Arial"/>
          <w:sz w:val="20"/>
          <w:szCs w:val="20"/>
          <w:color w:val="auto"/>
        </w:rPr>
        <w:t>In 2018, the Company effectively fixed the interest rate on $350.0 million principal of the previously outstanding 2024 Term Loans by entering into interest rate swap agreements with a notional amount of $350.0 million ("2018 Swaps"). On January 24, 2023, concurrently with the repayment of the 2024 Term Loans, the Company received a settlement payment of $8.3 million from the 2018 Swap counterparties. As a result of the settlement, the Company also reclassified the amounts previously deferred in accumulated other comprehensive loss and recognized a settlement gain of $8.3 million in interest expense in 2023.</w:t>
      </w:r>
    </w:p>
    <w:p>
      <w:pPr>
        <w:spacing w:after="0" w:line="127" w:lineRule="exact"/>
        <w:rPr>
          <w:sz w:val="20"/>
          <w:szCs w:val="20"/>
          <w:color w:val="auto"/>
        </w:rPr>
      </w:pPr>
    </w:p>
    <w:p>
      <w:pPr>
        <w:ind w:right="100" w:firstLine="709"/>
        <w:spacing w:after="0" w:line="254" w:lineRule="auto"/>
        <w:rPr>
          <w:sz w:val="20"/>
          <w:szCs w:val="20"/>
          <w:color w:val="auto"/>
        </w:rPr>
      </w:pPr>
      <w:r>
        <w:rPr>
          <w:rFonts w:ascii="Arial" w:cs="Arial" w:eastAsia="Arial" w:hAnsi="Arial"/>
          <w:sz w:val="20"/>
          <w:szCs w:val="20"/>
          <w:color w:val="auto"/>
        </w:rPr>
        <w:t>At the inception of these instruments, the Company designated both the 2018 Swaps and the 2022 Swaps (collectively referred to as the “Swaps”) as cash flow hedges. As of December 31, 2024 the Company recorded a derivative asset with a fair value of $32.4 million. The balance in the derivative asset as of December 31, 2023 was $35.5 million, which included both of the Swaps. The balance in both periods is comprised only of the 2022 Swaps, given that the 2018 Swaps were settled in early 2023, as noted above.</w:t>
      </w:r>
    </w:p>
    <w:p>
      <w:pPr>
        <w:spacing w:after="0" w:line="123" w:lineRule="exact"/>
        <w:rPr>
          <w:sz w:val="20"/>
          <w:szCs w:val="20"/>
          <w:color w:val="auto"/>
        </w:rPr>
      </w:pPr>
    </w:p>
    <w:p>
      <w:pPr>
        <w:ind w:right="60" w:firstLine="709"/>
        <w:spacing w:after="0" w:line="256" w:lineRule="auto"/>
        <w:rPr>
          <w:sz w:val="20"/>
          <w:szCs w:val="20"/>
          <w:color w:val="auto"/>
        </w:rPr>
      </w:pPr>
      <w:r>
        <w:rPr>
          <w:rFonts w:ascii="Arial" w:cs="Arial" w:eastAsia="Arial" w:hAnsi="Arial"/>
          <w:sz w:val="20"/>
          <w:szCs w:val="20"/>
          <w:color w:val="auto"/>
        </w:rPr>
        <w:t>No ineffectiveness has been identified on the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domestic and foreign components of income before provision for income taxes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right"/>
              <w:ind w:right="82"/>
              <w:spacing w:after="0"/>
              <w:rPr>
                <w:sz w:val="20"/>
                <w:szCs w:val="20"/>
                <w:color w:val="auto"/>
              </w:rPr>
            </w:pPr>
            <w:r>
              <w:rPr>
                <w:rFonts w:ascii="Arial" w:cs="Arial" w:eastAsia="Arial" w:hAnsi="Arial"/>
                <w:sz w:val="16"/>
                <w:szCs w:val="16"/>
                <w:b w:val="1"/>
                <w:bCs w:val="1"/>
                <w:color w:val="auto"/>
              </w:rPr>
              <w:t>For the years ended December 31,</w:t>
            </w:r>
          </w:p>
        </w:tc>
        <w:tc>
          <w:tcPr>
            <w:tcW w:w="1120" w:type="dxa"/>
            <w:vAlign w:val="bottom"/>
            <w:tcBorders>
              <w:bottom w:val="single" w:sz="8" w:color="auto"/>
            </w:tcBorders>
          </w:tcPr>
          <w:p>
            <w:pPr>
              <w:spacing w:after="0"/>
              <w:rPr>
                <w:sz w:val="18"/>
                <w:szCs w:val="18"/>
                <w:color w:val="auto"/>
              </w:rPr>
            </w:pPr>
          </w:p>
        </w:tc>
      </w:tr>
      <w:tr>
        <w:trPr>
          <w:trHeight w:val="216"/>
        </w:trPr>
        <w:tc>
          <w:tcPr>
            <w:tcW w:w="5200" w:type="dxa"/>
            <w:vAlign w:val="bottom"/>
            <w:tcBorders>
              <w:bottom w:val="single" w:sz="8" w:color="E6E6E6"/>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6"/>
                <w:szCs w:val="16"/>
                <w:b w:val="1"/>
                <w:bCs w:val="1"/>
                <w:color w:val="auto"/>
              </w:rPr>
              <w:t>2022</w:t>
            </w:r>
          </w:p>
        </w:tc>
      </w:tr>
      <w:tr>
        <w:trPr>
          <w:trHeight w:val="271"/>
        </w:trPr>
        <w:tc>
          <w:tcPr>
            <w:tcW w:w="5200" w:type="dxa"/>
            <w:vAlign w:val="bottom"/>
            <w:shd w:val="clear" w:color="auto" w:fill="E6E6E6"/>
          </w:tcPr>
          <w:p>
            <w:pPr>
              <w:ind w:left="60"/>
              <w:spacing w:after="0"/>
              <w:rPr>
                <w:sz w:val="20"/>
                <w:szCs w:val="20"/>
                <w:color w:val="auto"/>
              </w:rPr>
            </w:pPr>
            <w:r>
              <w:rPr>
                <w:rFonts w:ascii="Arial" w:cs="Arial" w:eastAsia="Arial" w:hAnsi="Arial"/>
                <w:sz w:val="20"/>
                <w:szCs w:val="20"/>
                <w:color w:val="auto"/>
              </w:rPr>
              <w:t>Domestic</w:t>
            </w:r>
          </w:p>
        </w:tc>
        <w:tc>
          <w:tcPr>
            <w:tcW w:w="40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444,118</w:t>
            </w:r>
          </w:p>
        </w:tc>
        <w:tc>
          <w:tcPr>
            <w:tcW w:w="48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401,912</w:t>
            </w:r>
          </w:p>
        </w:tc>
        <w:tc>
          <w:tcPr>
            <w:tcW w:w="540" w:type="dxa"/>
            <w:vAlign w:val="bottom"/>
            <w:gridSpan w:val="2"/>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406,206</w:t>
            </w:r>
          </w:p>
        </w:tc>
      </w:tr>
      <w:tr>
        <w:trPr>
          <w:trHeight w:val="271"/>
        </w:trPr>
        <w:tc>
          <w:tcPr>
            <w:tcW w:w="520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Foreign</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89,325</w:t>
            </w:r>
          </w:p>
        </w:tc>
        <w:tc>
          <w:tcPr>
            <w:tcW w:w="8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101,367</w:t>
            </w:r>
          </w:p>
        </w:tc>
        <w:tc>
          <w:tcPr>
            <w:tcW w:w="80" w:type="dxa"/>
            <w:vAlign w:val="bottom"/>
            <w:tcBorders>
              <w:bottom w:val="single" w:sz="8" w:color="E6E6E6"/>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131,792</w:t>
            </w:r>
          </w:p>
        </w:tc>
      </w:tr>
      <w:tr>
        <w:trPr>
          <w:trHeight w:val="280"/>
        </w:trPr>
        <w:tc>
          <w:tcPr>
            <w:tcW w:w="5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Total</w:t>
            </w:r>
          </w:p>
        </w:tc>
        <w:tc>
          <w:tcPr>
            <w:tcW w:w="40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533,443</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503,279</w:t>
            </w:r>
          </w:p>
        </w:tc>
        <w:tc>
          <w:tcPr>
            <w:tcW w:w="8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537,998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3294380</wp:posOffset>
            </wp:positionH>
            <wp:positionV relativeFrom="paragraph">
              <wp:posOffset>-43180</wp:posOffset>
            </wp:positionV>
            <wp:extent cx="3131185" cy="50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2">
                      <a:extLst>
                        <a:ext uri="{28A0092B-C50C-407E-A947-70E740481C1C}"/>
                      </a:extLst>
                    </a:blip>
                    <a:srcRect/>
                    <a:stretch>
                      <a:fillRect/>
                    </a:stretch>
                  </pic:blipFill>
                  <pic:spPr bwMode="auto">
                    <a:xfrm>
                      <a:off x="0" y="0"/>
                      <a:ext cx="3131185" cy="50165"/>
                    </a:xfrm>
                    <a:prstGeom prst="rect">
                      <a:avLst/>
                    </a:prstGeom>
                    <a:noFill/>
                  </pic:spPr>
                </pic:pic>
              </a:graphicData>
            </a:graphic>
          </wp:anchor>
        </w:drawing>
      </w:r>
    </w:p>
    <w:p>
      <w:pPr>
        <w:spacing w:after="0" w:line="4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provision for income taxes consisted of the following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For the years ended December 31,</w:t>
            </w:r>
          </w:p>
        </w:tc>
        <w:tc>
          <w:tcPr>
            <w:tcW w:w="1140" w:type="dxa"/>
            <w:vAlign w:val="bottom"/>
            <w:tcBorders>
              <w:bottom w:val="single" w:sz="8" w:color="auto"/>
            </w:tcBorders>
          </w:tcPr>
          <w:p>
            <w:pPr>
              <w:spacing w:after="0"/>
              <w:rPr>
                <w:sz w:val="18"/>
                <w:szCs w:val="18"/>
                <w:color w:val="auto"/>
              </w:rPr>
            </w:pPr>
          </w:p>
        </w:tc>
      </w:tr>
      <w:tr>
        <w:trPr>
          <w:trHeight w:val="216"/>
        </w:trPr>
        <w:tc>
          <w:tcPr>
            <w:tcW w:w="5220" w:type="dxa"/>
            <w:vAlign w:val="bottom"/>
            <w:tcBorders>
              <w:bottom w:val="single" w:sz="8" w:color="E6E6E6"/>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6"/>
                <w:szCs w:val="16"/>
                <w:b w:val="1"/>
                <w:bCs w:val="1"/>
                <w:color w:val="auto"/>
              </w:rPr>
              <w:t>2022</w:t>
            </w:r>
          </w:p>
        </w:tc>
      </w:tr>
      <w:tr>
        <w:trPr>
          <w:trHeight w:val="271"/>
        </w:trPr>
        <w:tc>
          <w:tcPr>
            <w:tcW w:w="5220" w:type="dxa"/>
            <w:vAlign w:val="bottom"/>
            <w:shd w:val="clear" w:color="auto" w:fill="E6E6E6"/>
          </w:tcPr>
          <w:p>
            <w:pPr>
              <w:ind w:left="60"/>
              <w:spacing w:after="0"/>
              <w:rPr>
                <w:sz w:val="20"/>
                <w:szCs w:val="20"/>
                <w:color w:val="auto"/>
              </w:rPr>
            </w:pPr>
            <w:r>
              <w:rPr>
                <w:rFonts w:ascii="Arial" w:cs="Arial" w:eastAsia="Arial" w:hAnsi="Arial"/>
                <w:sz w:val="20"/>
                <w:szCs w:val="20"/>
                <w:color w:val="auto"/>
              </w:rPr>
              <w:t>Current:</w:t>
            </w:r>
          </w:p>
        </w:tc>
        <w:tc>
          <w:tcPr>
            <w:tcW w:w="400" w:type="dxa"/>
            <w:vAlign w:val="bottom"/>
            <w:shd w:val="clear" w:color="auto" w:fill="E6E6E6"/>
          </w:tcPr>
          <w:p>
            <w:pPr>
              <w:spacing w:after="0"/>
              <w:rPr>
                <w:sz w:val="23"/>
                <w:szCs w:val="23"/>
                <w:color w:val="auto"/>
              </w:rPr>
            </w:pPr>
          </w:p>
        </w:tc>
        <w:tc>
          <w:tcPr>
            <w:tcW w:w="11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12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440" w:type="dxa"/>
            <w:vAlign w:val="bottom"/>
            <w:shd w:val="clear" w:color="auto" w:fill="E6E6E6"/>
          </w:tcPr>
          <w:p>
            <w:pPr>
              <w:spacing w:after="0"/>
              <w:rPr>
                <w:sz w:val="23"/>
                <w:szCs w:val="23"/>
                <w:color w:val="auto"/>
              </w:rPr>
            </w:pPr>
          </w:p>
        </w:tc>
        <w:tc>
          <w:tcPr>
            <w:tcW w:w="1140" w:type="dxa"/>
            <w:vAlign w:val="bottom"/>
            <w:shd w:val="clear" w:color="auto" w:fill="E6E6E6"/>
          </w:tcPr>
          <w:p>
            <w:pPr>
              <w:spacing w:after="0"/>
              <w:rPr>
                <w:sz w:val="23"/>
                <w:szCs w:val="23"/>
                <w:color w:val="auto"/>
              </w:rPr>
            </w:pPr>
          </w:p>
        </w:tc>
      </w:tr>
      <w:tr>
        <w:trPr>
          <w:trHeight w:val="275"/>
        </w:trPr>
        <w:tc>
          <w:tcPr>
            <w:tcW w:w="5220" w:type="dxa"/>
            <w:vAlign w:val="bottom"/>
          </w:tcPr>
          <w:p>
            <w:pPr>
              <w:ind w:left="200"/>
              <w:spacing w:after="0"/>
              <w:rPr>
                <w:sz w:val="20"/>
                <w:szCs w:val="20"/>
                <w:color w:val="auto"/>
              </w:rPr>
            </w:pPr>
            <w:r>
              <w:rPr>
                <w:rFonts w:ascii="Arial" w:cs="Arial" w:eastAsia="Arial" w:hAnsi="Arial"/>
                <w:sz w:val="20"/>
                <w:szCs w:val="20"/>
                <w:color w:val="auto"/>
              </w:rPr>
              <w:t>Federal</w:t>
            </w:r>
          </w:p>
        </w:tc>
        <w:tc>
          <w:tcPr>
            <w:tcW w:w="40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68,321</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64,164</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52,237</w:t>
            </w:r>
          </w:p>
        </w:tc>
      </w:tr>
      <w:tr>
        <w:trPr>
          <w:trHeight w:val="287"/>
        </w:trPr>
        <w:tc>
          <w:tcPr>
            <w:tcW w:w="5220" w:type="dxa"/>
            <w:vAlign w:val="bottom"/>
            <w:shd w:val="clear" w:color="auto" w:fill="E6E6E6"/>
          </w:tcPr>
          <w:p>
            <w:pPr>
              <w:ind w:left="200"/>
              <w:spacing w:after="0"/>
              <w:rPr>
                <w:sz w:val="20"/>
                <w:szCs w:val="20"/>
                <w:color w:val="auto"/>
              </w:rPr>
            </w:pPr>
            <w:r>
              <w:rPr>
                <w:rFonts w:ascii="Arial" w:cs="Arial" w:eastAsia="Arial" w:hAnsi="Arial"/>
                <w:sz w:val="20"/>
                <w:szCs w:val="20"/>
                <w:color w:val="auto"/>
              </w:rPr>
              <w:t>State</w:t>
            </w:r>
          </w:p>
        </w:tc>
        <w:tc>
          <w:tcPr>
            <w:tcW w:w="400" w:type="dxa"/>
            <w:vAlign w:val="bottom"/>
            <w:shd w:val="clear" w:color="auto" w:fill="E6E6E6"/>
          </w:tcPr>
          <w:p>
            <w:pPr>
              <w:spacing w:after="0"/>
              <w:rPr>
                <w:sz w:val="24"/>
                <w:szCs w:val="24"/>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27,649</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25,496</w:t>
            </w: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26,980</w:t>
            </w:r>
          </w:p>
        </w:tc>
      </w:tr>
      <w:tr>
        <w:trPr>
          <w:trHeight w:val="271"/>
        </w:trPr>
        <w:tc>
          <w:tcPr>
            <w:tcW w:w="5220" w:type="dxa"/>
            <w:vAlign w:val="bottom"/>
            <w:tcBorders>
              <w:bottom w:val="single" w:sz="8" w:color="E6E6E6"/>
            </w:tcBorders>
          </w:tcPr>
          <w:p>
            <w:pPr>
              <w:ind w:left="200"/>
              <w:spacing w:after="0"/>
              <w:rPr>
                <w:sz w:val="20"/>
                <w:szCs w:val="20"/>
                <w:color w:val="auto"/>
              </w:rPr>
            </w:pPr>
            <w:r>
              <w:rPr>
                <w:rFonts w:ascii="Arial" w:cs="Arial" w:eastAsia="Arial" w:hAnsi="Arial"/>
                <w:sz w:val="20"/>
                <w:szCs w:val="20"/>
                <w:color w:val="auto"/>
              </w:rPr>
              <w:t>Foreign</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16,737</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23,078</w:t>
            </w:r>
          </w:p>
        </w:tc>
        <w:tc>
          <w:tcPr>
            <w:tcW w:w="80" w:type="dxa"/>
            <w:vAlign w:val="bottom"/>
            <w:tcBorders>
              <w:bottom w:val="single" w:sz="8" w:color="E6E6E6"/>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29,488</w:t>
            </w:r>
          </w:p>
        </w:tc>
      </w:tr>
      <w:tr>
        <w:trPr>
          <w:trHeight w:val="280"/>
        </w:trPr>
        <w:tc>
          <w:tcPr>
            <w:tcW w:w="52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112,707</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112,738</w:t>
            </w: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108,705</w:t>
            </w:r>
          </w:p>
        </w:tc>
      </w:tr>
      <w:tr>
        <w:trPr>
          <w:trHeight w:val="246"/>
        </w:trPr>
        <w:tc>
          <w:tcPr>
            <w:tcW w:w="5220" w:type="dxa"/>
            <w:vAlign w:val="bottom"/>
          </w:tcPr>
          <w:p>
            <w:pPr>
              <w:ind w:left="60"/>
              <w:spacing w:after="0"/>
              <w:rPr>
                <w:sz w:val="20"/>
                <w:szCs w:val="20"/>
                <w:color w:val="auto"/>
              </w:rPr>
            </w:pPr>
            <w:r>
              <w:rPr>
                <w:rFonts w:ascii="Arial" w:cs="Arial" w:eastAsia="Arial" w:hAnsi="Arial"/>
                <w:sz w:val="20"/>
                <w:szCs w:val="20"/>
                <w:color w:val="auto"/>
              </w:rPr>
              <w:t>Deferred</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7"/>
        </w:trPr>
        <w:tc>
          <w:tcPr>
            <w:tcW w:w="5220" w:type="dxa"/>
            <w:vAlign w:val="bottom"/>
            <w:shd w:val="clear" w:color="auto" w:fill="E6E6E6"/>
          </w:tcPr>
          <w:p>
            <w:pPr>
              <w:ind w:left="200"/>
              <w:spacing w:after="0"/>
              <w:rPr>
                <w:sz w:val="20"/>
                <w:szCs w:val="20"/>
                <w:color w:val="auto"/>
              </w:rPr>
            </w:pPr>
            <w:r>
              <w:rPr>
                <w:rFonts w:ascii="Arial" w:cs="Arial" w:eastAsia="Arial" w:hAnsi="Arial"/>
                <w:sz w:val="20"/>
                <w:szCs w:val="20"/>
                <w:color w:val="auto"/>
              </w:rPr>
              <w:t>Federal</w:t>
            </w:r>
          </w:p>
        </w:tc>
        <w:tc>
          <w:tcPr>
            <w:tcW w:w="400" w:type="dxa"/>
            <w:vAlign w:val="bottom"/>
            <w:shd w:val="clear" w:color="auto" w:fill="E6E6E6"/>
          </w:tcPr>
          <w:p>
            <w:pPr>
              <w:spacing w:after="0"/>
              <w:rPr>
                <w:sz w:val="24"/>
                <w:szCs w:val="24"/>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20,669</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18,251</w:t>
            </w: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32,199</w:t>
            </w:r>
          </w:p>
        </w:tc>
      </w:tr>
      <w:tr>
        <w:trPr>
          <w:trHeight w:val="275"/>
        </w:trPr>
        <w:tc>
          <w:tcPr>
            <w:tcW w:w="5220" w:type="dxa"/>
            <w:vAlign w:val="bottom"/>
          </w:tcPr>
          <w:p>
            <w:pPr>
              <w:ind w:left="200"/>
              <w:spacing w:after="0"/>
              <w:rPr>
                <w:sz w:val="20"/>
                <w:szCs w:val="20"/>
                <w:color w:val="auto"/>
              </w:rPr>
            </w:pPr>
            <w:r>
              <w:rPr>
                <w:rFonts w:ascii="Arial" w:cs="Arial" w:eastAsia="Arial" w:hAnsi="Arial"/>
                <w:sz w:val="20"/>
                <w:szCs w:val="20"/>
                <w:color w:val="auto"/>
              </w:rPr>
              <w:t>State</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(4,415)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(9,049)</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(2,432)</w:t>
            </w:r>
          </w:p>
        </w:tc>
      </w:tr>
      <w:tr>
        <w:trPr>
          <w:trHeight w:val="277"/>
        </w:trPr>
        <w:tc>
          <w:tcPr>
            <w:tcW w:w="522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20"/>
                <w:szCs w:val="20"/>
                <w:color w:val="auto"/>
              </w:rPr>
              <w:t>Foreign</w:t>
            </w:r>
          </w:p>
        </w:tc>
        <w:tc>
          <w:tcPr>
            <w:tcW w:w="400" w:type="dxa"/>
            <w:vAlign w:val="bottom"/>
            <w:tcBorders>
              <w:bottom w:val="single" w:sz="8" w:color="auto"/>
            </w:tcBorders>
            <w:shd w:val="clear" w:color="auto" w:fill="E6E6E6"/>
          </w:tcPr>
          <w:p>
            <w:pPr>
              <w:spacing w:after="0"/>
              <w:rPr>
                <w:sz w:val="24"/>
                <w:szCs w:val="24"/>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2,183</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3,483</w:t>
            </w:r>
          </w:p>
        </w:tc>
        <w:tc>
          <w:tcPr>
            <w:tcW w:w="8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(12,218)</w:t>
            </w:r>
          </w:p>
        </w:tc>
      </w:tr>
      <w:tr>
        <w:trPr>
          <w:trHeight w:val="261"/>
        </w:trPr>
        <w:tc>
          <w:tcPr>
            <w:tcW w:w="522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18,437</w:t>
            </w:r>
          </w:p>
        </w:tc>
        <w:tc>
          <w:tcPr>
            <w:tcW w:w="80" w:type="dxa"/>
            <w:vAlign w:val="bottom"/>
            <w:tcBorders>
              <w:bottom w:val="single" w:sz="8" w:color="E6E6E6"/>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12,685</w:t>
            </w:r>
          </w:p>
        </w:tc>
        <w:tc>
          <w:tcPr>
            <w:tcW w:w="80" w:type="dxa"/>
            <w:vAlign w:val="bottom"/>
            <w:tcBorders>
              <w:bottom w:val="single" w:sz="8" w:color="E6E6E6"/>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17,549</w:t>
            </w:r>
          </w:p>
        </w:tc>
      </w:tr>
      <w:tr>
        <w:trPr>
          <w:trHeight w:val="280"/>
        </w:trPr>
        <w:tc>
          <w:tcPr>
            <w:tcW w:w="5220" w:type="dxa"/>
            <w:vAlign w:val="bottom"/>
            <w:shd w:val="clear" w:color="auto" w:fill="E6E6E6"/>
          </w:tcPr>
          <w:p>
            <w:pPr>
              <w:ind w:left="60"/>
              <w:spacing w:after="0"/>
              <w:rPr>
                <w:sz w:val="20"/>
                <w:szCs w:val="20"/>
                <w:color w:val="auto"/>
              </w:rPr>
            </w:pPr>
            <w:r>
              <w:rPr>
                <w:rFonts w:ascii="Arial" w:cs="Arial" w:eastAsia="Arial" w:hAnsi="Arial"/>
                <w:sz w:val="20"/>
                <w:szCs w:val="20"/>
                <w:color w:val="auto"/>
              </w:rPr>
              <w:t>Provision for income taxes</w:t>
            </w:r>
          </w:p>
        </w:tc>
        <w:tc>
          <w:tcPr>
            <w:tcW w:w="40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131,144</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125,423</w:t>
            </w:r>
          </w:p>
        </w:tc>
        <w:tc>
          <w:tcPr>
            <w:tcW w:w="520" w:type="dxa"/>
            <w:vAlign w:val="bottom"/>
            <w:gridSpan w:val="2"/>
            <w:shd w:val="clear" w:color="auto" w:fill="E6E6E6"/>
          </w:tcPr>
          <w:p>
            <w:pPr>
              <w:jc w:val="right"/>
              <w:ind w:right="300"/>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126,254</w:t>
            </w:r>
          </w:p>
        </w:tc>
      </w:tr>
      <w:tr>
        <w:trPr>
          <w:trHeight w:val="251"/>
        </w:trPr>
        <w:tc>
          <w:tcPr>
            <w:tcW w:w="5220" w:type="dxa"/>
            <w:vAlign w:val="bottom"/>
            <w:tcBorders>
              <w:top w:val="single" w:sz="8" w:color="E6E6E6"/>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81"/>
        </w:trPr>
        <w:tc>
          <w:tcPr>
            <w:tcW w:w="5220" w:type="dxa"/>
            <w:vAlign w:val="bottom"/>
            <w:shd w:val="clear" w:color="auto" w:fill="E6E6E6"/>
          </w:tcPr>
          <w:p>
            <w:pPr>
              <w:ind w:left="60"/>
              <w:spacing w:after="0"/>
              <w:rPr>
                <w:sz w:val="20"/>
                <w:szCs w:val="20"/>
                <w:color w:val="auto"/>
              </w:rPr>
            </w:pPr>
            <w:r>
              <w:rPr>
                <w:rFonts w:ascii="Arial" w:cs="Arial" w:eastAsia="Arial" w:hAnsi="Arial"/>
                <w:sz w:val="20"/>
                <w:szCs w:val="20"/>
                <w:color w:val="auto"/>
              </w:rPr>
              <w:t>Effective tax rate</w:t>
            </w:r>
          </w:p>
        </w:tc>
        <w:tc>
          <w:tcPr>
            <w:tcW w:w="400" w:type="dxa"/>
            <w:vAlign w:val="bottom"/>
            <w:shd w:val="clear" w:color="auto" w:fill="E6E6E6"/>
          </w:tcPr>
          <w:p>
            <w:pPr>
              <w:spacing w:after="0"/>
              <w:rPr>
                <w:sz w:val="24"/>
                <w:szCs w:val="24"/>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24.6%</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24.9%</w:t>
            </w:r>
          </w:p>
        </w:tc>
        <w:tc>
          <w:tcPr>
            <w:tcW w:w="8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-381000</wp:posOffset>
            </wp:positionV>
            <wp:extent cx="3131185" cy="501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3">
                      <a:extLst>
                        <a:ext uri="{28A0092B-C50C-407E-A947-70E740481C1C}"/>
                      </a:extLst>
                    </a:blip>
                    <a:srcRect/>
                    <a:stretch>
                      <a:fillRect/>
                    </a:stretch>
                  </pic:blipFill>
                  <pic:spPr bwMode="auto">
                    <a:xfrm>
                      <a:off x="0" y="0"/>
                      <a:ext cx="3131185" cy="50165"/>
                    </a:xfrm>
                    <a:prstGeom prst="rect">
                      <a:avLst/>
                    </a:prstGeom>
                    <a:noFill/>
                  </pic:spPr>
                </pic:pic>
              </a:graphicData>
            </a:graphic>
          </wp:anchor>
        </w:drawing>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880" w:h="15480" w:orient="portrait"/>
          <w:cols w:equalWidth="0" w:num="1">
            <w:col w:w="10120"/>
          </w:cols>
          <w:pgMar w:left="880" w:top="338" w:right="880" w:bottom="0" w:gutter="0" w:footer="0" w:header="0"/>
          <w:type w:val="continuous"/>
        </w:sectPr>
      </w:pPr>
    </w:p>
    <w:bookmarkStart w:id="89" w:name="page90"/>
    <w:bookmarkEnd w:id="89"/>
    <w:p>
      <w:pPr>
        <w:jc w:val="center"/>
        <w:ind w:right="-3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40" w:firstLine="709"/>
        <w:spacing w:after="0" w:line="276" w:lineRule="auto"/>
        <w:rPr>
          <w:sz w:val="20"/>
          <w:szCs w:val="20"/>
          <w:color w:val="auto"/>
        </w:rPr>
      </w:pPr>
      <w:r>
        <w:rPr>
          <w:rFonts w:ascii="Arial" w:cs="Arial" w:eastAsia="Arial" w:hAnsi="Arial"/>
          <w:sz w:val="20"/>
          <w:szCs w:val="20"/>
          <w:color w:val="auto"/>
        </w:rPr>
        <w:t>The Company's effective income tax rate varied from the amount computed using the statutory federal income tax rate of 21%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61"/>
              <w:spacing w:after="0"/>
              <w:rPr>
                <w:sz w:val="20"/>
                <w:szCs w:val="20"/>
                <w:color w:val="auto"/>
              </w:rPr>
            </w:pPr>
            <w:r>
              <w:rPr>
                <w:rFonts w:ascii="Arial" w:cs="Arial" w:eastAsia="Arial" w:hAnsi="Arial"/>
                <w:sz w:val="16"/>
                <w:szCs w:val="16"/>
                <w:b w:val="1"/>
                <w:bCs w:val="1"/>
                <w:color w:val="auto"/>
              </w:rPr>
              <w:t>For the years ended December 31,</w:t>
            </w:r>
          </w:p>
        </w:tc>
        <w:tc>
          <w:tcPr>
            <w:tcW w:w="1080" w:type="dxa"/>
            <w:vAlign w:val="bottom"/>
            <w:tcBorders>
              <w:bottom w:val="single" w:sz="8" w:color="auto"/>
            </w:tcBorders>
          </w:tcPr>
          <w:p>
            <w:pPr>
              <w:spacing w:after="0"/>
              <w:rPr>
                <w:sz w:val="18"/>
                <w:szCs w:val="18"/>
                <w:color w:val="auto"/>
              </w:rPr>
            </w:pPr>
          </w:p>
        </w:tc>
      </w:tr>
      <w:tr>
        <w:trPr>
          <w:trHeight w:val="216"/>
        </w:trPr>
        <w:tc>
          <w:tcPr>
            <w:tcW w:w="5260" w:type="dxa"/>
            <w:vAlign w:val="bottom"/>
            <w:tcBorders>
              <w:bottom w:val="single" w:sz="8" w:color="E6E6E6"/>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b w:val="1"/>
                <w:bCs w:val="1"/>
                <w:color w:val="auto"/>
              </w:rPr>
              <w:t>2022</w:t>
            </w:r>
          </w:p>
        </w:tc>
      </w:tr>
      <w:tr>
        <w:trPr>
          <w:trHeight w:val="271"/>
        </w:trPr>
        <w:tc>
          <w:tcPr>
            <w:tcW w:w="5260" w:type="dxa"/>
            <w:vAlign w:val="bottom"/>
            <w:shd w:val="clear" w:color="auto" w:fill="E6E6E6"/>
          </w:tcPr>
          <w:p>
            <w:pPr>
              <w:ind w:left="60"/>
              <w:spacing w:after="0"/>
              <w:rPr>
                <w:sz w:val="20"/>
                <w:szCs w:val="20"/>
                <w:color w:val="auto"/>
              </w:rPr>
            </w:pPr>
            <w:r>
              <w:rPr>
                <w:rFonts w:ascii="Arial" w:cs="Arial" w:eastAsia="Arial" w:hAnsi="Arial"/>
                <w:sz w:val="20"/>
                <w:szCs w:val="20"/>
                <w:color w:val="auto"/>
              </w:rPr>
              <w:t>Tax expense at U.S. statutory rate</w:t>
            </w:r>
          </w:p>
        </w:tc>
        <w:tc>
          <w:tcPr>
            <w:tcW w:w="40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112,023</w:t>
            </w:r>
          </w:p>
        </w:tc>
        <w:tc>
          <w:tcPr>
            <w:tcW w:w="46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105,689</w:t>
            </w:r>
          </w:p>
        </w:tc>
        <w:tc>
          <w:tcPr>
            <w:tcW w:w="540" w:type="dxa"/>
            <w:vAlign w:val="bottom"/>
            <w:gridSpan w:val="2"/>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112,980</w:t>
            </w:r>
          </w:p>
        </w:tc>
      </w:tr>
      <w:tr>
        <w:trPr>
          <w:trHeight w:val="275"/>
        </w:trPr>
        <w:tc>
          <w:tcPr>
            <w:tcW w:w="5260" w:type="dxa"/>
            <w:vAlign w:val="bottom"/>
          </w:tcPr>
          <w:p>
            <w:pPr>
              <w:ind w:left="60"/>
              <w:spacing w:after="0"/>
              <w:rPr>
                <w:sz w:val="20"/>
                <w:szCs w:val="20"/>
                <w:color w:val="auto"/>
              </w:rPr>
            </w:pPr>
            <w:r>
              <w:rPr>
                <w:rFonts w:ascii="Arial" w:cs="Arial" w:eastAsia="Arial" w:hAnsi="Arial"/>
                <w:sz w:val="20"/>
                <w:szCs w:val="20"/>
                <w:color w:val="auto"/>
              </w:rPr>
              <w:t>State income taxes, net of federal benefit</w:t>
            </w: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18,555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18,067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19,831</w:t>
            </w:r>
          </w:p>
        </w:tc>
      </w:tr>
      <w:tr>
        <w:trPr>
          <w:trHeight w:val="287"/>
        </w:trPr>
        <w:tc>
          <w:tcPr>
            <w:tcW w:w="5260" w:type="dxa"/>
            <w:vAlign w:val="bottom"/>
            <w:shd w:val="clear" w:color="auto" w:fill="E6E6E6"/>
          </w:tcPr>
          <w:p>
            <w:pPr>
              <w:ind w:left="60"/>
              <w:spacing w:after="0"/>
              <w:rPr>
                <w:sz w:val="20"/>
                <w:szCs w:val="20"/>
                <w:color w:val="auto"/>
              </w:rPr>
            </w:pPr>
            <w:r>
              <w:rPr>
                <w:rFonts w:ascii="Arial" w:cs="Arial" w:eastAsia="Arial" w:hAnsi="Arial"/>
                <w:sz w:val="20"/>
                <w:szCs w:val="20"/>
                <w:color w:val="auto"/>
              </w:rPr>
              <w:t>Foreign rate differential</w:t>
            </w:r>
          </w:p>
        </w:tc>
        <w:tc>
          <w:tcPr>
            <w:tcW w:w="40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3,965</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4,213</w:t>
            </w: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6,196</w:t>
            </w:r>
          </w:p>
        </w:tc>
      </w:tr>
      <w:tr>
        <w:trPr>
          <w:trHeight w:val="275"/>
        </w:trPr>
        <w:tc>
          <w:tcPr>
            <w:tcW w:w="5260" w:type="dxa"/>
            <w:vAlign w:val="bottom"/>
          </w:tcPr>
          <w:p>
            <w:pPr>
              <w:ind w:left="60"/>
              <w:spacing w:after="0"/>
              <w:rPr>
                <w:sz w:val="20"/>
                <w:szCs w:val="20"/>
                <w:color w:val="auto"/>
              </w:rPr>
            </w:pPr>
            <w:r>
              <w:rPr>
                <w:rFonts w:ascii="Arial" w:cs="Arial" w:eastAsia="Arial" w:hAnsi="Arial"/>
                <w:sz w:val="20"/>
                <w:szCs w:val="20"/>
                <w:color w:val="auto"/>
              </w:rPr>
              <w:t>Valuation allowance</w:t>
            </w: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(6,485)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(7,699)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(18,769)</w:t>
            </w:r>
          </w:p>
        </w:tc>
      </w:tr>
      <w:tr>
        <w:trPr>
          <w:trHeight w:val="287"/>
        </w:trPr>
        <w:tc>
          <w:tcPr>
            <w:tcW w:w="5260" w:type="dxa"/>
            <w:vAlign w:val="bottom"/>
            <w:shd w:val="clear" w:color="auto" w:fill="E6E6E6"/>
          </w:tcPr>
          <w:p>
            <w:pPr>
              <w:ind w:left="60"/>
              <w:spacing w:after="0"/>
              <w:rPr>
                <w:sz w:val="20"/>
                <w:szCs w:val="20"/>
                <w:color w:val="auto"/>
              </w:rPr>
            </w:pPr>
            <w:r>
              <w:rPr>
                <w:rFonts w:ascii="Arial" w:cs="Arial" w:eastAsia="Arial" w:hAnsi="Arial"/>
                <w:sz w:val="20"/>
                <w:szCs w:val="20"/>
                <w:color w:val="auto"/>
              </w:rPr>
              <w:t>Uncertain tax position interest and penalties</w:t>
            </w:r>
          </w:p>
        </w:tc>
        <w:tc>
          <w:tcPr>
            <w:tcW w:w="40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(1,773)</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w:t>
            </w: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(2,454)</w:t>
            </w:r>
          </w:p>
        </w:tc>
      </w:tr>
      <w:tr>
        <w:trPr>
          <w:trHeight w:val="275"/>
        </w:trPr>
        <w:tc>
          <w:tcPr>
            <w:tcW w:w="5260" w:type="dxa"/>
            <w:vAlign w:val="bottom"/>
          </w:tcPr>
          <w:p>
            <w:pPr>
              <w:ind w:left="60"/>
              <w:spacing w:after="0"/>
              <w:rPr>
                <w:sz w:val="20"/>
                <w:szCs w:val="20"/>
                <w:color w:val="auto"/>
              </w:rPr>
            </w:pPr>
            <w:r>
              <w:rPr>
                <w:rFonts w:ascii="Arial" w:cs="Arial" w:eastAsia="Arial" w:hAnsi="Arial"/>
                <w:sz w:val="20"/>
                <w:szCs w:val="20"/>
                <w:color w:val="auto"/>
              </w:rPr>
              <w:t>Tax credits</w:t>
            </w: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2,694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1,653</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2,768</w:t>
            </w:r>
          </w:p>
        </w:tc>
      </w:tr>
      <w:tr>
        <w:trPr>
          <w:trHeight w:val="287"/>
        </w:trPr>
        <w:tc>
          <w:tcPr>
            <w:tcW w:w="5260" w:type="dxa"/>
            <w:vAlign w:val="bottom"/>
            <w:shd w:val="clear" w:color="auto" w:fill="E6E6E6"/>
          </w:tcPr>
          <w:p>
            <w:pPr>
              <w:ind w:left="60"/>
              <w:spacing w:after="0"/>
              <w:rPr>
                <w:sz w:val="20"/>
                <w:szCs w:val="20"/>
                <w:color w:val="auto"/>
              </w:rPr>
            </w:pPr>
            <w:r>
              <w:rPr>
                <w:rFonts w:ascii="Arial" w:cs="Arial" w:eastAsia="Arial" w:hAnsi="Arial"/>
                <w:sz w:val="20"/>
                <w:szCs w:val="20"/>
                <w:color w:val="auto"/>
              </w:rPr>
              <w:t>Non-deductible compensation</w:t>
            </w:r>
          </w:p>
        </w:tc>
        <w:tc>
          <w:tcPr>
            <w:tcW w:w="40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2,211</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2,898</w:t>
            </w: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2,754</w:t>
            </w:r>
          </w:p>
        </w:tc>
      </w:tr>
      <w:tr>
        <w:trPr>
          <w:trHeight w:val="271"/>
        </w:trPr>
        <w:tc>
          <w:tcPr>
            <w:tcW w:w="52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Other</w:t>
            </w: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609</w:t>
            </w:r>
          </w:p>
        </w:tc>
        <w:tc>
          <w:tcPr>
            <w:tcW w:w="80" w:type="dxa"/>
            <w:vAlign w:val="bottom"/>
            <w:tcBorders>
              <w:bottom w:val="single" w:sz="8" w:color="E6E6E6"/>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2,948</w:t>
            </w:r>
          </w:p>
        </w:tc>
      </w:tr>
      <w:tr>
        <w:trPr>
          <w:trHeight w:val="280"/>
        </w:trPr>
        <w:tc>
          <w:tcPr>
            <w:tcW w:w="52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Provision for income taxes</w:t>
            </w:r>
          </w:p>
        </w:tc>
        <w:tc>
          <w:tcPr>
            <w:tcW w:w="40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131,144</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125,423</w:t>
            </w:r>
          </w:p>
        </w:tc>
        <w:tc>
          <w:tcPr>
            <w:tcW w:w="8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126,254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-43180</wp:posOffset>
            </wp:positionV>
            <wp:extent cx="3074670" cy="50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4">
                      <a:extLst>
                        <a:ext uri="{28A0092B-C50C-407E-A947-70E740481C1C}"/>
                      </a:extLst>
                    </a:blip>
                    <a:srcRect/>
                    <a:stretch>
                      <a:fillRect/>
                    </a:stretch>
                  </pic:blipFill>
                  <pic:spPr bwMode="auto">
                    <a:xfrm>
                      <a:off x="0" y="0"/>
                      <a:ext cx="3074670" cy="50165"/>
                    </a:xfrm>
                    <a:prstGeom prst="rect">
                      <a:avLst/>
                    </a:prstGeom>
                    <a:noFill/>
                  </pic:spPr>
                </pic:pic>
              </a:graphicData>
            </a:graphic>
          </wp:anchor>
        </w:drawing>
      </w:r>
    </w:p>
    <w:p>
      <w:pPr>
        <w:spacing w:after="0" w:line="145" w:lineRule="exact"/>
        <w:rPr>
          <w:sz w:val="20"/>
          <w:szCs w:val="20"/>
          <w:color w:val="auto"/>
        </w:rPr>
      </w:pPr>
    </w:p>
    <w:p>
      <w:pPr>
        <w:jc w:val="both"/>
        <w:ind w:right="160" w:firstLine="709"/>
        <w:spacing w:after="0" w:line="255" w:lineRule="auto"/>
        <w:rPr>
          <w:sz w:val="20"/>
          <w:szCs w:val="20"/>
          <w:color w:val="auto"/>
        </w:rPr>
      </w:pPr>
      <w:r>
        <w:rPr>
          <w:rFonts w:ascii="Arial" w:cs="Arial" w:eastAsia="Arial" w:hAnsi="Arial"/>
          <w:sz w:val="18"/>
          <w:szCs w:val="18"/>
          <w:color w:val="auto"/>
        </w:rPr>
        <w:t>In 2024, $4.1 million in fully reserved for foreign tax credits expired. In the table above, the expiration is included in the tax credits line and the write off of the valuation allowance is contributing to the valuation allowance benefit, however the foreign tax credit expiration and associated valuation allowance write-off had no net impact to the provision for income tax.</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The remaining valuation allowance benefit in 2024 is the result of profitable earnings at certain Canadian entities which utilized previously reserved for operating losses.</w:t>
      </w:r>
    </w:p>
    <w:p>
      <w:pPr>
        <w:spacing w:after="0" w:line="103" w:lineRule="exact"/>
        <w:rPr>
          <w:sz w:val="20"/>
          <w:szCs w:val="20"/>
          <w:color w:val="auto"/>
        </w:rPr>
      </w:pPr>
    </w:p>
    <w:p>
      <w:pPr>
        <w:ind w:right="80" w:firstLine="709"/>
        <w:spacing w:after="0" w:line="275" w:lineRule="auto"/>
        <w:rPr>
          <w:sz w:val="20"/>
          <w:szCs w:val="20"/>
          <w:color w:val="auto"/>
        </w:rPr>
      </w:pPr>
      <w:r>
        <w:rPr>
          <w:rFonts w:ascii="Arial" w:cs="Arial" w:eastAsia="Arial" w:hAnsi="Arial"/>
          <w:sz w:val="18"/>
          <w:szCs w:val="18"/>
          <w:color w:val="auto"/>
        </w:rPr>
        <w:t>The valuation allowance benefits recognized in 2023 are predominately the result of cumulative profitable earnings at certain US entities with historical state operating losses. As of December 31, 2023, management determined that there is sufficient positive evidence to conclude that it is more likely than not that additional deferred taxes associated with these State net operating losses are realizable. Therefore the valuation allowance was reduced accordingly.</w:t>
      </w:r>
    </w:p>
    <w:p>
      <w:pPr>
        <w:spacing w:after="0" w:line="91" w:lineRule="exact"/>
        <w:rPr>
          <w:sz w:val="20"/>
          <w:szCs w:val="20"/>
          <w:color w:val="auto"/>
        </w:rPr>
      </w:pPr>
    </w:p>
    <w:p>
      <w:pPr>
        <w:ind w:right="420" w:firstLine="709"/>
        <w:spacing w:after="0" w:line="256" w:lineRule="auto"/>
        <w:rPr>
          <w:sz w:val="20"/>
          <w:szCs w:val="20"/>
          <w:color w:val="auto"/>
        </w:rPr>
      </w:pPr>
      <w:r>
        <w:rPr>
          <w:rFonts w:ascii="Arial" w:cs="Arial" w:eastAsia="Arial" w:hAnsi="Arial"/>
          <w:sz w:val="20"/>
          <w:szCs w:val="20"/>
          <w:color w:val="auto"/>
        </w:rPr>
        <w:t>The valuation allowance benefits recognized in 2022 were the result of cumulative profitable earnings at certain Canadian entities with historic operating losses. The 2022 earnings were sufficient to utilize substantially all of the net operating losses, and as of December 31, 2022, the Company released any remaining valuation allowances associated with these entities, which were nominal.</w:t>
      </w:r>
    </w:p>
    <w:p>
      <w:pPr>
        <w:sectPr>
          <w:pgSz w:w="11880" w:h="15480" w:orient="portrait"/>
          <w:cols w:equalWidth="0" w:num="1">
            <w:col w:w="10080"/>
          </w:cols>
          <w:pgMar w:left="880" w:top="3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ectPr>
          <w:pgSz w:w="11880" w:h="15480" w:orient="portrait"/>
          <w:cols w:equalWidth="0" w:num="1">
            <w:col w:w="10080"/>
          </w:cols>
          <w:pgMar w:left="880" w:top="338" w:right="920" w:bottom="0" w:gutter="0" w:footer="0" w:header="0"/>
          <w:type w:val="continuous"/>
        </w:sectPr>
      </w:pPr>
    </w:p>
    <w:bookmarkStart w:id="90" w:name="page91"/>
    <w:bookmarkEnd w:id="90"/>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180" w:firstLine="709"/>
        <w:spacing w:after="0" w:line="276" w:lineRule="auto"/>
        <w:rPr>
          <w:sz w:val="20"/>
          <w:szCs w:val="20"/>
          <w:color w:val="auto"/>
        </w:rPr>
      </w:pPr>
      <w:r>
        <w:rPr>
          <w:rFonts w:ascii="Arial" w:cs="Arial" w:eastAsia="Arial" w:hAnsi="Arial"/>
          <w:sz w:val="20"/>
          <w:szCs w:val="20"/>
          <w:color w:val="auto"/>
        </w:rPr>
        <w:t>The components of the total net deferred tax assets and liabilities as of December 31, 2024 and 2023 were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Borders>
              <w:bottom w:val="single" w:sz="8" w:color="E6E6E6"/>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1"/>
        </w:trPr>
        <w:tc>
          <w:tcPr>
            <w:tcW w:w="6820" w:type="dxa"/>
            <w:vAlign w:val="bottom"/>
            <w:shd w:val="clear" w:color="auto" w:fill="E6E6E6"/>
          </w:tcPr>
          <w:p>
            <w:pPr>
              <w:ind w:left="60"/>
              <w:spacing w:after="0"/>
              <w:rPr>
                <w:sz w:val="20"/>
                <w:szCs w:val="20"/>
                <w:color w:val="auto"/>
              </w:rPr>
            </w:pPr>
            <w:r>
              <w:rPr>
                <w:rFonts w:ascii="Arial" w:cs="Arial" w:eastAsia="Arial" w:hAnsi="Arial"/>
                <w:sz w:val="20"/>
                <w:szCs w:val="20"/>
                <w:color w:val="auto"/>
              </w:rPr>
              <w:t>Deferred tax assets:</w:t>
            </w:r>
          </w:p>
        </w:tc>
        <w:tc>
          <w:tcPr>
            <w:tcW w:w="400" w:type="dxa"/>
            <w:vAlign w:val="bottom"/>
            <w:shd w:val="clear" w:color="auto" w:fill="E6E6E6"/>
          </w:tcPr>
          <w:p>
            <w:pPr>
              <w:spacing w:after="0"/>
              <w:rPr>
                <w:sz w:val="23"/>
                <w:szCs w:val="23"/>
                <w:color w:val="auto"/>
              </w:rPr>
            </w:pPr>
          </w:p>
        </w:tc>
        <w:tc>
          <w:tcPr>
            <w:tcW w:w="12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120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820" w:type="dxa"/>
            <w:vAlign w:val="bottom"/>
          </w:tcPr>
          <w:p>
            <w:pPr>
              <w:ind w:left="200"/>
              <w:spacing w:after="0"/>
              <w:rPr>
                <w:sz w:val="20"/>
                <w:szCs w:val="20"/>
                <w:color w:val="auto"/>
              </w:rPr>
            </w:pPr>
            <w:r>
              <w:rPr>
                <w:rFonts w:ascii="Arial" w:cs="Arial" w:eastAsia="Arial" w:hAnsi="Arial"/>
                <w:sz w:val="20"/>
                <w:szCs w:val="20"/>
                <w:color w:val="auto"/>
              </w:rPr>
              <w:t>Provision for doubtful accounts</w:t>
            </w:r>
          </w:p>
        </w:tc>
        <w:tc>
          <w:tcPr>
            <w:tcW w:w="40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14,808</w:t>
            </w:r>
          </w:p>
        </w:tc>
        <w:tc>
          <w:tcPr>
            <w:tcW w:w="4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10,882</w:t>
            </w:r>
          </w:p>
        </w:tc>
        <w:tc>
          <w:tcPr>
            <w:tcW w:w="0" w:type="dxa"/>
            <w:vAlign w:val="bottom"/>
          </w:tcPr>
          <w:p>
            <w:pPr>
              <w:spacing w:after="0"/>
              <w:rPr>
                <w:sz w:val="1"/>
                <w:szCs w:val="1"/>
                <w:color w:val="auto"/>
              </w:rPr>
            </w:pPr>
          </w:p>
        </w:tc>
      </w:tr>
      <w:tr>
        <w:trPr>
          <w:trHeight w:val="287"/>
        </w:trPr>
        <w:tc>
          <w:tcPr>
            <w:tcW w:w="6820" w:type="dxa"/>
            <w:vAlign w:val="bottom"/>
            <w:shd w:val="clear" w:color="auto" w:fill="E6E6E6"/>
          </w:tcPr>
          <w:p>
            <w:pPr>
              <w:ind w:left="200"/>
              <w:spacing w:after="0"/>
              <w:rPr>
                <w:sz w:val="20"/>
                <w:szCs w:val="20"/>
                <w:color w:val="auto"/>
              </w:rPr>
            </w:pPr>
            <w:r>
              <w:rPr>
                <w:rFonts w:ascii="Arial" w:cs="Arial" w:eastAsia="Arial" w:hAnsi="Arial"/>
                <w:sz w:val="20"/>
                <w:szCs w:val="20"/>
                <w:color w:val="auto"/>
              </w:rPr>
              <w:t>Closure, post-closure and remedial liabilities</w:t>
            </w: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32,189</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31,944</w:t>
            </w:r>
          </w:p>
        </w:tc>
        <w:tc>
          <w:tcPr>
            <w:tcW w:w="0" w:type="dxa"/>
            <w:vAlign w:val="bottom"/>
          </w:tcPr>
          <w:p>
            <w:pPr>
              <w:spacing w:after="0"/>
              <w:rPr>
                <w:sz w:val="1"/>
                <w:szCs w:val="1"/>
                <w:color w:val="auto"/>
              </w:rPr>
            </w:pPr>
          </w:p>
        </w:tc>
      </w:tr>
      <w:tr>
        <w:trPr>
          <w:trHeight w:val="275"/>
        </w:trPr>
        <w:tc>
          <w:tcPr>
            <w:tcW w:w="6820" w:type="dxa"/>
            <w:vAlign w:val="bottom"/>
          </w:tcPr>
          <w:p>
            <w:pPr>
              <w:ind w:left="200"/>
              <w:spacing w:after="0"/>
              <w:rPr>
                <w:sz w:val="20"/>
                <w:szCs w:val="20"/>
                <w:color w:val="auto"/>
              </w:rPr>
            </w:pPr>
            <w:r>
              <w:rPr>
                <w:rFonts w:ascii="Arial" w:cs="Arial" w:eastAsia="Arial" w:hAnsi="Arial"/>
                <w:sz w:val="20"/>
                <w:szCs w:val="20"/>
                <w:color w:val="auto"/>
              </w:rPr>
              <w:t>Operating lease liabilities</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60,929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46,784</w:t>
            </w:r>
          </w:p>
        </w:tc>
        <w:tc>
          <w:tcPr>
            <w:tcW w:w="0" w:type="dxa"/>
            <w:vAlign w:val="bottom"/>
          </w:tcPr>
          <w:p>
            <w:pPr>
              <w:spacing w:after="0"/>
              <w:rPr>
                <w:sz w:val="1"/>
                <w:szCs w:val="1"/>
                <w:color w:val="auto"/>
              </w:rPr>
            </w:pPr>
          </w:p>
        </w:tc>
      </w:tr>
      <w:tr>
        <w:trPr>
          <w:trHeight w:val="287"/>
        </w:trPr>
        <w:tc>
          <w:tcPr>
            <w:tcW w:w="6820" w:type="dxa"/>
            <w:vAlign w:val="bottom"/>
            <w:shd w:val="clear" w:color="auto" w:fill="E6E6E6"/>
          </w:tcPr>
          <w:p>
            <w:pPr>
              <w:ind w:left="200"/>
              <w:spacing w:after="0"/>
              <w:rPr>
                <w:sz w:val="20"/>
                <w:szCs w:val="20"/>
                <w:color w:val="auto"/>
              </w:rPr>
            </w:pPr>
            <w:r>
              <w:rPr>
                <w:rFonts w:ascii="Arial" w:cs="Arial" w:eastAsia="Arial" w:hAnsi="Arial"/>
                <w:sz w:val="20"/>
                <w:szCs w:val="20"/>
                <w:color w:val="auto"/>
              </w:rPr>
              <w:t>Accrued expenses</w:t>
            </w: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14,749</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14,963</w:t>
            </w:r>
          </w:p>
        </w:tc>
        <w:tc>
          <w:tcPr>
            <w:tcW w:w="0" w:type="dxa"/>
            <w:vAlign w:val="bottom"/>
          </w:tcPr>
          <w:p>
            <w:pPr>
              <w:spacing w:after="0"/>
              <w:rPr>
                <w:sz w:val="1"/>
                <w:szCs w:val="1"/>
                <w:color w:val="auto"/>
              </w:rPr>
            </w:pPr>
          </w:p>
        </w:tc>
      </w:tr>
      <w:tr>
        <w:trPr>
          <w:trHeight w:val="275"/>
        </w:trPr>
        <w:tc>
          <w:tcPr>
            <w:tcW w:w="6820" w:type="dxa"/>
            <w:vAlign w:val="bottom"/>
          </w:tcPr>
          <w:p>
            <w:pPr>
              <w:ind w:left="200"/>
              <w:spacing w:after="0"/>
              <w:rPr>
                <w:sz w:val="20"/>
                <w:szCs w:val="20"/>
                <w:color w:val="auto"/>
              </w:rPr>
            </w:pPr>
            <w:r>
              <w:rPr>
                <w:rFonts w:ascii="Arial" w:cs="Arial" w:eastAsia="Arial" w:hAnsi="Arial"/>
                <w:sz w:val="20"/>
                <w:szCs w:val="20"/>
                <w:color w:val="auto"/>
              </w:rPr>
              <w:t>Accrued compensation and benefits</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16,876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15,058</w:t>
            </w:r>
          </w:p>
        </w:tc>
        <w:tc>
          <w:tcPr>
            <w:tcW w:w="0" w:type="dxa"/>
            <w:vAlign w:val="bottom"/>
          </w:tcPr>
          <w:p>
            <w:pPr>
              <w:spacing w:after="0"/>
              <w:rPr>
                <w:sz w:val="1"/>
                <w:szCs w:val="1"/>
                <w:color w:val="auto"/>
              </w:rPr>
            </w:pPr>
          </w:p>
        </w:tc>
      </w:tr>
      <w:tr>
        <w:trPr>
          <w:trHeight w:val="287"/>
        </w:trPr>
        <w:tc>
          <w:tcPr>
            <w:tcW w:w="6820" w:type="dxa"/>
            <w:vAlign w:val="bottom"/>
            <w:shd w:val="clear" w:color="auto" w:fill="E6E6E6"/>
          </w:tcPr>
          <w:p>
            <w:pPr>
              <w:ind w:left="200"/>
              <w:spacing w:after="0"/>
              <w:rPr>
                <w:sz w:val="20"/>
                <w:szCs w:val="20"/>
                <w:color w:val="auto"/>
              </w:rPr>
            </w:pPr>
            <w:r>
              <w:rPr>
                <w:rFonts w:ascii="Arial" w:cs="Arial" w:eastAsia="Arial" w:hAnsi="Arial"/>
                <w:sz w:val="20"/>
                <w:szCs w:val="20"/>
                <w:color w:val="auto"/>
              </w:rPr>
              <w:t>Net operating loss carryforwards</w:t>
            </w:r>
            <w:r>
              <w:rPr>
                <w:rFonts w:ascii="Arial" w:cs="Arial" w:eastAsia="Arial" w:hAnsi="Arial"/>
                <w:sz w:val="25"/>
                <w:szCs w:val="25"/>
                <w:color w:val="auto"/>
                <w:vertAlign w:val="superscript"/>
              </w:rPr>
              <w:t>(1)</w:t>
            </w: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48,331</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39,042</w:t>
            </w:r>
          </w:p>
        </w:tc>
        <w:tc>
          <w:tcPr>
            <w:tcW w:w="0" w:type="dxa"/>
            <w:vAlign w:val="bottom"/>
          </w:tcPr>
          <w:p>
            <w:pPr>
              <w:spacing w:after="0"/>
              <w:rPr>
                <w:sz w:val="1"/>
                <w:szCs w:val="1"/>
                <w:color w:val="auto"/>
              </w:rPr>
            </w:pPr>
          </w:p>
        </w:tc>
      </w:tr>
      <w:tr>
        <w:trPr>
          <w:trHeight w:val="281"/>
        </w:trPr>
        <w:tc>
          <w:tcPr>
            <w:tcW w:w="6820" w:type="dxa"/>
            <w:vAlign w:val="bottom"/>
          </w:tcPr>
          <w:p>
            <w:pPr>
              <w:ind w:left="200"/>
              <w:spacing w:after="0" w:line="281" w:lineRule="exact"/>
              <w:rPr>
                <w:sz w:val="20"/>
                <w:szCs w:val="20"/>
                <w:color w:val="auto"/>
              </w:rPr>
            </w:pPr>
            <w:r>
              <w:rPr>
                <w:rFonts w:ascii="Arial" w:cs="Arial" w:eastAsia="Arial" w:hAnsi="Arial"/>
                <w:sz w:val="20"/>
                <w:szCs w:val="20"/>
                <w:color w:val="auto"/>
              </w:rPr>
              <w:t>Excess business interest</w:t>
            </w:r>
            <w:r>
              <w:rPr>
                <w:rFonts w:ascii="Arial" w:cs="Arial" w:eastAsia="Arial" w:hAnsi="Arial"/>
                <w:sz w:val="25"/>
                <w:szCs w:val="25"/>
                <w:color w:val="auto"/>
                <w:vertAlign w:val="superscript"/>
              </w:rPr>
              <w:t>(2)</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22,078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1"/>
        </w:trPr>
        <w:tc>
          <w:tcPr>
            <w:tcW w:w="6820" w:type="dxa"/>
            <w:vAlign w:val="bottom"/>
            <w:shd w:val="clear" w:color="auto" w:fill="E6E6E6"/>
          </w:tcPr>
          <w:p>
            <w:pPr>
              <w:ind w:left="200"/>
              <w:spacing w:after="0"/>
              <w:rPr>
                <w:sz w:val="20"/>
                <w:szCs w:val="20"/>
                <w:color w:val="auto"/>
              </w:rPr>
            </w:pPr>
            <w:r>
              <w:rPr>
                <w:rFonts w:ascii="Arial" w:cs="Arial" w:eastAsia="Arial" w:hAnsi="Arial"/>
                <w:sz w:val="20"/>
                <w:szCs w:val="20"/>
                <w:color w:val="auto"/>
              </w:rPr>
              <w:t>Tax credit carryforwards</w:t>
            </w: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2,619</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6,531</w:t>
            </w:r>
          </w:p>
        </w:tc>
        <w:tc>
          <w:tcPr>
            <w:tcW w:w="0" w:type="dxa"/>
            <w:vAlign w:val="bottom"/>
          </w:tcPr>
          <w:p>
            <w:pPr>
              <w:spacing w:after="0"/>
              <w:rPr>
                <w:sz w:val="1"/>
                <w:szCs w:val="1"/>
                <w:color w:val="auto"/>
              </w:rPr>
            </w:pPr>
          </w:p>
        </w:tc>
      </w:tr>
      <w:tr>
        <w:trPr>
          <w:trHeight w:val="275"/>
        </w:trPr>
        <w:tc>
          <w:tcPr>
            <w:tcW w:w="6820" w:type="dxa"/>
            <w:vAlign w:val="bottom"/>
          </w:tcPr>
          <w:p>
            <w:pPr>
              <w:ind w:left="200"/>
              <w:spacing w:after="0"/>
              <w:rPr>
                <w:sz w:val="20"/>
                <w:szCs w:val="20"/>
                <w:color w:val="auto"/>
              </w:rPr>
            </w:pPr>
            <w:r>
              <w:rPr>
                <w:rFonts w:ascii="Arial" w:cs="Arial" w:eastAsia="Arial" w:hAnsi="Arial"/>
                <w:sz w:val="20"/>
                <w:szCs w:val="20"/>
                <w:color w:val="auto"/>
              </w:rPr>
              <w:t>Stock-based compensation</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4,877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3,516</w:t>
            </w:r>
          </w:p>
        </w:tc>
        <w:tc>
          <w:tcPr>
            <w:tcW w:w="0" w:type="dxa"/>
            <w:vAlign w:val="bottom"/>
          </w:tcPr>
          <w:p>
            <w:pPr>
              <w:spacing w:after="0"/>
              <w:rPr>
                <w:sz w:val="1"/>
                <w:szCs w:val="1"/>
                <w:color w:val="auto"/>
              </w:rPr>
            </w:pPr>
          </w:p>
        </w:tc>
      </w:tr>
      <w:tr>
        <w:trPr>
          <w:trHeight w:val="296"/>
        </w:trPr>
        <w:tc>
          <w:tcPr>
            <w:tcW w:w="682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20"/>
                <w:szCs w:val="20"/>
                <w:color w:val="auto"/>
              </w:rPr>
              <w:t>Other</w:t>
            </w:r>
          </w:p>
        </w:tc>
        <w:tc>
          <w:tcPr>
            <w:tcW w:w="40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2,565</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4,843</w:t>
            </w:r>
          </w:p>
        </w:tc>
        <w:tc>
          <w:tcPr>
            <w:tcW w:w="0" w:type="dxa"/>
            <w:vAlign w:val="bottom"/>
          </w:tcPr>
          <w:p>
            <w:pPr>
              <w:spacing w:after="0"/>
              <w:rPr>
                <w:sz w:val="1"/>
                <w:szCs w:val="1"/>
                <w:color w:val="auto"/>
              </w:rPr>
            </w:pPr>
          </w:p>
        </w:tc>
      </w:tr>
      <w:tr>
        <w:trPr>
          <w:trHeight w:val="246"/>
        </w:trPr>
        <w:tc>
          <w:tcPr>
            <w:tcW w:w="6820" w:type="dxa"/>
            <w:vAlign w:val="bottom"/>
          </w:tcPr>
          <w:p>
            <w:pPr>
              <w:ind w:left="200"/>
              <w:spacing w:after="0"/>
              <w:rPr>
                <w:sz w:val="20"/>
                <w:szCs w:val="20"/>
                <w:color w:val="auto"/>
              </w:rPr>
            </w:pPr>
            <w:r>
              <w:rPr>
                <w:rFonts w:ascii="Arial" w:cs="Arial" w:eastAsia="Arial" w:hAnsi="Arial"/>
                <w:sz w:val="20"/>
                <w:szCs w:val="20"/>
                <w:color w:val="auto"/>
              </w:rPr>
              <w:t>Total deferred tax assets</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220,021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173,563</w:t>
            </w:r>
          </w:p>
        </w:tc>
        <w:tc>
          <w:tcPr>
            <w:tcW w:w="0" w:type="dxa"/>
            <w:vAlign w:val="bottom"/>
          </w:tcPr>
          <w:p>
            <w:pPr>
              <w:spacing w:after="0"/>
              <w:rPr>
                <w:sz w:val="1"/>
                <w:szCs w:val="1"/>
                <w:color w:val="auto"/>
              </w:rPr>
            </w:pPr>
          </w:p>
        </w:tc>
      </w:tr>
      <w:tr>
        <w:trPr>
          <w:trHeight w:val="287"/>
        </w:trPr>
        <w:tc>
          <w:tcPr>
            <w:tcW w:w="6820" w:type="dxa"/>
            <w:vAlign w:val="bottom"/>
            <w:shd w:val="clear" w:color="auto" w:fill="E6E6E6"/>
          </w:tcPr>
          <w:p>
            <w:pPr>
              <w:ind w:left="60"/>
              <w:spacing w:after="0"/>
              <w:rPr>
                <w:sz w:val="20"/>
                <w:szCs w:val="20"/>
                <w:color w:val="auto"/>
              </w:rPr>
            </w:pPr>
            <w:r>
              <w:rPr>
                <w:rFonts w:ascii="Arial" w:cs="Arial" w:eastAsia="Arial" w:hAnsi="Arial"/>
                <w:sz w:val="20"/>
                <w:szCs w:val="20"/>
                <w:color w:val="auto"/>
              </w:rPr>
              <w:t>Deferred tax liabilities:</w:t>
            </w: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820" w:type="dxa"/>
            <w:vAlign w:val="bottom"/>
          </w:tcPr>
          <w:p>
            <w:pPr>
              <w:ind w:left="200"/>
              <w:spacing w:after="0"/>
              <w:rPr>
                <w:sz w:val="20"/>
                <w:szCs w:val="20"/>
                <w:color w:val="auto"/>
              </w:rPr>
            </w:pPr>
            <w:r>
              <w:rPr>
                <w:rFonts w:ascii="Arial" w:cs="Arial" w:eastAsia="Arial" w:hAnsi="Arial"/>
                <w:sz w:val="20"/>
                <w:szCs w:val="20"/>
                <w:color w:val="auto"/>
              </w:rPr>
              <w:t>Property, plant and equipment</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(311,546)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(284,997)</w:t>
            </w:r>
          </w:p>
        </w:tc>
        <w:tc>
          <w:tcPr>
            <w:tcW w:w="0" w:type="dxa"/>
            <w:vAlign w:val="bottom"/>
          </w:tcPr>
          <w:p>
            <w:pPr>
              <w:spacing w:after="0"/>
              <w:rPr>
                <w:sz w:val="1"/>
                <w:szCs w:val="1"/>
                <w:color w:val="auto"/>
              </w:rPr>
            </w:pPr>
          </w:p>
        </w:tc>
      </w:tr>
      <w:tr>
        <w:trPr>
          <w:trHeight w:val="287"/>
        </w:trPr>
        <w:tc>
          <w:tcPr>
            <w:tcW w:w="6820" w:type="dxa"/>
            <w:vAlign w:val="bottom"/>
            <w:shd w:val="clear" w:color="auto" w:fill="E6E6E6"/>
          </w:tcPr>
          <w:p>
            <w:pPr>
              <w:ind w:left="200"/>
              <w:spacing w:after="0"/>
              <w:rPr>
                <w:sz w:val="20"/>
                <w:szCs w:val="20"/>
                <w:color w:val="auto"/>
              </w:rPr>
            </w:pPr>
            <w:r>
              <w:rPr>
                <w:rFonts w:ascii="Arial" w:cs="Arial" w:eastAsia="Arial" w:hAnsi="Arial"/>
                <w:sz w:val="20"/>
                <w:szCs w:val="20"/>
                <w:color w:val="auto"/>
              </w:rPr>
              <w:t>Operating lease right-of-use assets</w:t>
            </w: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(59,999)</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(46,584)</w:t>
            </w:r>
          </w:p>
        </w:tc>
        <w:tc>
          <w:tcPr>
            <w:tcW w:w="0" w:type="dxa"/>
            <w:vAlign w:val="bottom"/>
          </w:tcPr>
          <w:p>
            <w:pPr>
              <w:spacing w:after="0"/>
              <w:rPr>
                <w:sz w:val="1"/>
                <w:szCs w:val="1"/>
                <w:color w:val="auto"/>
              </w:rPr>
            </w:pPr>
          </w:p>
        </w:tc>
      </w:tr>
      <w:tr>
        <w:trPr>
          <w:trHeight w:val="275"/>
        </w:trPr>
        <w:tc>
          <w:tcPr>
            <w:tcW w:w="6820" w:type="dxa"/>
            <w:vAlign w:val="bottom"/>
          </w:tcPr>
          <w:p>
            <w:pPr>
              <w:ind w:left="200"/>
              <w:spacing w:after="0"/>
              <w:rPr>
                <w:sz w:val="20"/>
                <w:szCs w:val="20"/>
                <w:color w:val="auto"/>
              </w:rPr>
            </w:pPr>
            <w:r>
              <w:rPr>
                <w:rFonts w:ascii="Arial" w:cs="Arial" w:eastAsia="Arial" w:hAnsi="Arial"/>
                <w:sz w:val="20"/>
                <w:szCs w:val="20"/>
                <w:color w:val="auto"/>
              </w:rPr>
              <w:t>Interest rate swap asset</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(8,748)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(9,576)</w:t>
            </w:r>
          </w:p>
        </w:tc>
        <w:tc>
          <w:tcPr>
            <w:tcW w:w="0" w:type="dxa"/>
            <w:vAlign w:val="bottom"/>
          </w:tcPr>
          <w:p>
            <w:pPr>
              <w:spacing w:after="0"/>
              <w:rPr>
                <w:sz w:val="1"/>
                <w:szCs w:val="1"/>
                <w:color w:val="auto"/>
              </w:rPr>
            </w:pPr>
          </w:p>
        </w:tc>
      </w:tr>
      <w:tr>
        <w:trPr>
          <w:trHeight w:val="287"/>
        </w:trPr>
        <w:tc>
          <w:tcPr>
            <w:tcW w:w="6820" w:type="dxa"/>
            <w:vAlign w:val="bottom"/>
            <w:shd w:val="clear" w:color="auto" w:fill="E6E6E6"/>
          </w:tcPr>
          <w:p>
            <w:pPr>
              <w:ind w:left="200"/>
              <w:spacing w:after="0"/>
              <w:rPr>
                <w:sz w:val="20"/>
                <w:szCs w:val="20"/>
                <w:color w:val="auto"/>
              </w:rPr>
            </w:pPr>
            <w:r>
              <w:rPr>
                <w:rFonts w:ascii="Arial" w:cs="Arial" w:eastAsia="Arial" w:hAnsi="Arial"/>
                <w:sz w:val="20"/>
                <w:szCs w:val="20"/>
                <w:color w:val="auto"/>
              </w:rPr>
              <w:t>Permits and other intangible assets</w:t>
            </w: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(158,905)</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(130,391)</w:t>
            </w:r>
          </w:p>
        </w:tc>
        <w:tc>
          <w:tcPr>
            <w:tcW w:w="0" w:type="dxa"/>
            <w:vAlign w:val="bottom"/>
          </w:tcPr>
          <w:p>
            <w:pPr>
              <w:spacing w:after="0"/>
              <w:rPr>
                <w:sz w:val="1"/>
                <w:szCs w:val="1"/>
                <w:color w:val="auto"/>
              </w:rPr>
            </w:pPr>
          </w:p>
        </w:tc>
      </w:tr>
      <w:tr>
        <w:trPr>
          <w:trHeight w:val="271"/>
        </w:trPr>
        <w:tc>
          <w:tcPr>
            <w:tcW w:w="6820" w:type="dxa"/>
            <w:vAlign w:val="bottom"/>
            <w:tcBorders>
              <w:bottom w:val="single" w:sz="8" w:color="E6E6E6"/>
            </w:tcBorders>
          </w:tcPr>
          <w:p>
            <w:pPr>
              <w:ind w:left="200"/>
              <w:spacing w:after="0"/>
              <w:rPr>
                <w:sz w:val="20"/>
                <w:szCs w:val="20"/>
                <w:color w:val="auto"/>
              </w:rPr>
            </w:pPr>
            <w:r>
              <w:rPr>
                <w:rFonts w:ascii="Arial" w:cs="Arial" w:eastAsia="Arial" w:hAnsi="Arial"/>
                <w:sz w:val="20"/>
                <w:szCs w:val="20"/>
                <w:color w:val="auto"/>
              </w:rPr>
              <w:t>Prepaid expenses</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(10,881)</w:t>
            </w:r>
          </w:p>
        </w:tc>
        <w:tc>
          <w:tcPr>
            <w:tcW w:w="8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(12,372)</w:t>
            </w:r>
          </w:p>
        </w:tc>
        <w:tc>
          <w:tcPr>
            <w:tcW w:w="0" w:type="dxa"/>
            <w:vAlign w:val="bottom"/>
          </w:tcPr>
          <w:p>
            <w:pPr>
              <w:spacing w:after="0"/>
              <w:rPr>
                <w:sz w:val="1"/>
                <w:szCs w:val="1"/>
                <w:color w:val="auto"/>
              </w:rPr>
            </w:pPr>
          </w:p>
        </w:tc>
      </w:tr>
      <w:tr>
        <w:trPr>
          <w:trHeight w:val="280"/>
        </w:trPr>
        <w:tc>
          <w:tcPr>
            <w:tcW w:w="682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20"/>
                <w:szCs w:val="20"/>
                <w:color w:val="auto"/>
              </w:rPr>
              <w:t>Total deferred tax liabilities</w:t>
            </w:r>
          </w:p>
        </w:tc>
        <w:tc>
          <w:tcPr>
            <w:tcW w:w="40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(550,079)</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(483,920)</w:t>
            </w:r>
          </w:p>
        </w:tc>
        <w:tc>
          <w:tcPr>
            <w:tcW w:w="0" w:type="dxa"/>
            <w:vAlign w:val="bottom"/>
          </w:tcPr>
          <w:p>
            <w:pPr>
              <w:spacing w:after="0"/>
              <w:rPr>
                <w:sz w:val="1"/>
                <w:szCs w:val="1"/>
                <w:color w:val="auto"/>
              </w:rPr>
            </w:pPr>
          </w:p>
        </w:tc>
      </w:tr>
      <w:tr>
        <w:trPr>
          <w:trHeight w:val="241"/>
        </w:trPr>
        <w:tc>
          <w:tcPr>
            <w:tcW w:w="682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Total net deferred tax liability before valuation allowance</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(330,058)</w:t>
            </w:r>
          </w:p>
        </w:tc>
        <w:tc>
          <w:tcPr>
            <w:tcW w:w="80" w:type="dxa"/>
            <w:vAlign w:val="bottom"/>
            <w:tcBorders>
              <w:bottom w:val="single" w:sz="8" w:color="E6E6E6"/>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(310,357)</w:t>
            </w:r>
          </w:p>
        </w:tc>
        <w:tc>
          <w:tcPr>
            <w:tcW w:w="0" w:type="dxa"/>
            <w:vAlign w:val="bottom"/>
          </w:tcPr>
          <w:p>
            <w:pPr>
              <w:spacing w:after="0"/>
              <w:rPr>
                <w:sz w:val="1"/>
                <w:szCs w:val="1"/>
                <w:color w:val="auto"/>
              </w:rPr>
            </w:pPr>
          </w:p>
        </w:tc>
      </w:tr>
      <w:tr>
        <w:trPr>
          <w:trHeight w:val="280"/>
        </w:trPr>
        <w:tc>
          <w:tcPr>
            <w:tcW w:w="682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20"/>
                <w:szCs w:val="20"/>
                <w:color w:val="auto"/>
              </w:rPr>
              <w:t>Less valuation allowance</w:t>
            </w:r>
          </w:p>
        </w:tc>
        <w:tc>
          <w:tcPr>
            <w:tcW w:w="40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(27,232)</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(35,272)</w:t>
            </w:r>
          </w:p>
        </w:tc>
        <w:tc>
          <w:tcPr>
            <w:tcW w:w="0" w:type="dxa"/>
            <w:vAlign w:val="bottom"/>
          </w:tcPr>
          <w:p>
            <w:pPr>
              <w:spacing w:after="0"/>
              <w:rPr>
                <w:sz w:val="1"/>
                <w:szCs w:val="1"/>
                <w:color w:val="auto"/>
              </w:rPr>
            </w:pPr>
          </w:p>
        </w:tc>
      </w:tr>
      <w:tr>
        <w:trPr>
          <w:trHeight w:val="222"/>
        </w:trPr>
        <w:tc>
          <w:tcPr>
            <w:tcW w:w="6820" w:type="dxa"/>
            <w:vAlign w:val="bottom"/>
          </w:tcPr>
          <w:p>
            <w:pPr>
              <w:ind w:left="200"/>
              <w:spacing w:after="0" w:line="222" w:lineRule="exact"/>
              <w:rPr>
                <w:sz w:val="20"/>
                <w:szCs w:val="20"/>
                <w:color w:val="auto"/>
              </w:rPr>
            </w:pPr>
            <w:r>
              <w:rPr>
                <w:rFonts w:ascii="Arial" w:cs="Arial" w:eastAsia="Arial" w:hAnsi="Arial"/>
                <w:sz w:val="20"/>
                <w:szCs w:val="20"/>
                <w:color w:val="auto"/>
              </w:rPr>
              <w:t>Net deferred tax liabilities</w:t>
            </w:r>
          </w:p>
        </w:tc>
        <w:tc>
          <w:tcPr>
            <w:tcW w:w="400" w:type="dxa"/>
            <w:vAlign w:val="bottom"/>
          </w:tcPr>
          <w:p>
            <w:pPr>
              <w:jc w:val="right"/>
              <w:ind w:right="162"/>
              <w:spacing w:after="0" w:line="222"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22" w:lineRule="exact"/>
              <w:rPr>
                <w:sz w:val="20"/>
                <w:szCs w:val="20"/>
                <w:color w:val="auto"/>
              </w:rPr>
            </w:pPr>
            <w:r>
              <w:rPr>
                <w:rFonts w:ascii="Arial" w:cs="Arial" w:eastAsia="Arial" w:hAnsi="Arial"/>
                <w:sz w:val="20"/>
                <w:szCs w:val="20"/>
                <w:color w:val="auto"/>
              </w:rPr>
              <w:t>(357,290)</w:t>
            </w:r>
          </w:p>
        </w:tc>
        <w:tc>
          <w:tcPr>
            <w:tcW w:w="48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22" w:lineRule="exact"/>
              <w:rPr>
                <w:sz w:val="20"/>
                <w:szCs w:val="20"/>
                <w:color w:val="auto"/>
              </w:rPr>
            </w:pPr>
            <w:r>
              <w:rPr>
                <w:rFonts w:ascii="Arial" w:cs="Arial" w:eastAsia="Arial" w:hAnsi="Arial"/>
                <w:sz w:val="20"/>
                <w:szCs w:val="20"/>
                <w:color w:val="auto"/>
              </w:rPr>
              <w:t>(345,629)</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-198120</wp:posOffset>
            </wp:positionV>
            <wp:extent cx="2108200" cy="50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5">
                      <a:extLst>
                        <a:ext uri="{28A0092B-C50C-407E-A947-70E740481C1C}"/>
                      </a:extLst>
                    </a:blip>
                    <a:srcRect/>
                    <a:stretch>
                      <a:fillRect/>
                    </a:stretch>
                  </pic:blipFill>
                  <pic:spPr bwMode="auto">
                    <a:xfrm>
                      <a:off x="0" y="0"/>
                      <a:ext cx="2108200" cy="50165"/>
                    </a:xfrm>
                    <a:prstGeom prst="rect">
                      <a:avLst/>
                    </a:prstGeom>
                    <a:noFill/>
                  </pic:spPr>
                </pic:pic>
              </a:graphicData>
            </a:graphic>
          </wp:anchor>
        </w:drawing>
      </w:r>
    </w:p>
    <w:p>
      <w:pPr>
        <w:ind w:left="720" w:hanging="358"/>
        <w:spacing w:after="0" w:line="246"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As of December 31, 2024, the net operating loss carryforwards included (i) gross state net operating loss carryforwards of $290.7 million which will begin to expire in 2025, (ii) gross federal net operating loss carryforwards of $79.3 million which will begin to expire in 2025 and (iii) gross foreign net operating loss carryforwards of $64.3 million which will begin to expire in 2025. The increase in the state and federal net operating loss carryforward from the prior year is predominately due to assets acquired in the HEPACO transaction. See Note 4, "Business Combinations" for more information on the related transaction.</w:t>
      </w:r>
    </w:p>
    <w:p>
      <w:pPr>
        <w:spacing w:after="0" w:line="4" w:lineRule="exact"/>
        <w:rPr>
          <w:rFonts w:ascii="Arial" w:cs="Arial" w:eastAsia="Arial" w:hAnsi="Arial"/>
          <w:sz w:val="20"/>
          <w:szCs w:val="20"/>
          <w:color w:val="auto"/>
        </w:rPr>
      </w:pPr>
    </w:p>
    <w:p>
      <w:pPr>
        <w:ind w:left="720" w:right="200" w:hanging="358"/>
        <w:spacing w:after="0" w:line="276"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Deferred tax asset acquired in the HEPACO transaction. See Note 4, "Business Combinations" for more information on the related transaction.</w:t>
      </w:r>
    </w:p>
    <w:p>
      <w:pPr>
        <w:spacing w:after="0" w:line="101" w:lineRule="exact"/>
        <w:rPr>
          <w:sz w:val="20"/>
          <w:szCs w:val="20"/>
          <w:color w:val="auto"/>
        </w:rPr>
      </w:pPr>
    </w:p>
    <w:p>
      <w:pPr>
        <w:ind w:right="80" w:firstLine="709"/>
        <w:spacing w:after="0" w:line="261" w:lineRule="auto"/>
        <w:rPr>
          <w:sz w:val="20"/>
          <w:szCs w:val="20"/>
          <w:color w:val="auto"/>
        </w:rPr>
      </w:pPr>
      <w:r>
        <w:rPr>
          <w:rFonts w:ascii="Arial" w:cs="Arial" w:eastAsia="Arial" w:hAnsi="Arial"/>
          <w:sz w:val="20"/>
          <w:szCs w:val="20"/>
          <w:color w:val="auto"/>
        </w:rPr>
        <w:t>The Company previously recognized the U.S. federal income taxes related to the operations in Canada and has not accrued for any remaining undistributed foreign earnings. These amounts continue to be indefinitely reinvested. The amount of tax associated with those unrepatriated earnings is not expected to be material.</w:t>
      </w:r>
    </w:p>
    <w:p>
      <w:pPr>
        <w:sectPr>
          <w:pgSz w:w="11880" w:h="15480" w:orient="portrait"/>
          <w:cols w:equalWidth="0" w:num="1">
            <w:col w:w="10100"/>
          </w:cols>
          <w:pgMar w:left="880" w:top="3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880" w:h="15480" w:orient="portrait"/>
          <w:cols w:equalWidth="0" w:num="1">
            <w:col w:w="10100"/>
          </w:cols>
          <w:pgMar w:left="880" w:top="338" w:right="900" w:bottom="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jc w:val="both"/>
        <w:ind w:right="440" w:firstLine="709"/>
        <w:spacing w:after="0" w:line="281" w:lineRule="auto"/>
        <w:rPr>
          <w:sz w:val="20"/>
          <w:szCs w:val="20"/>
          <w:color w:val="auto"/>
        </w:rPr>
      </w:pPr>
      <w:r>
        <w:rPr>
          <w:rFonts w:ascii="Arial" w:cs="Arial" w:eastAsia="Arial" w:hAnsi="Arial"/>
          <w:sz w:val="19"/>
          <w:szCs w:val="19"/>
          <w:color w:val="auto"/>
        </w:rPr>
        <w:t>A valuation allowance is required to be established when, based on an evaluation of available evidence, it is more likely than not that some portion or all of the deferred tax assets will not be realized. The components of the total valuation allowance as of December 31, 2024 and 2023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Borders>
              <w:bottom w:val="single" w:sz="8" w:color="E6E6E6"/>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6"/>
                <w:szCs w:val="16"/>
                <w:b w:val="1"/>
                <w:bCs w:val="1"/>
                <w:color w:val="auto"/>
              </w:rPr>
              <w:t>2023</w:t>
            </w:r>
          </w:p>
        </w:tc>
      </w:tr>
      <w:tr>
        <w:trPr>
          <w:trHeight w:val="271"/>
        </w:trPr>
        <w:tc>
          <w:tcPr>
            <w:tcW w:w="6820" w:type="dxa"/>
            <w:vAlign w:val="bottom"/>
            <w:shd w:val="clear" w:color="auto" w:fill="E6E6E6"/>
          </w:tcPr>
          <w:p>
            <w:pPr>
              <w:ind w:left="60"/>
              <w:spacing w:after="0"/>
              <w:rPr>
                <w:sz w:val="20"/>
                <w:szCs w:val="20"/>
                <w:color w:val="auto"/>
              </w:rPr>
            </w:pPr>
            <w:r>
              <w:rPr>
                <w:rFonts w:ascii="Arial" w:cs="Arial" w:eastAsia="Arial" w:hAnsi="Arial"/>
                <w:sz w:val="20"/>
                <w:szCs w:val="20"/>
                <w:color w:val="auto"/>
              </w:rPr>
              <w:t>Allowance related to:</w:t>
            </w:r>
          </w:p>
        </w:tc>
        <w:tc>
          <w:tcPr>
            <w:tcW w:w="980" w:type="dxa"/>
            <w:vAlign w:val="bottom"/>
            <w:shd w:val="clear" w:color="auto" w:fill="E6E6E6"/>
          </w:tcPr>
          <w:p>
            <w:pPr>
              <w:spacing w:after="0"/>
              <w:rPr>
                <w:sz w:val="23"/>
                <w:szCs w:val="23"/>
                <w:color w:val="auto"/>
              </w:rPr>
            </w:pPr>
          </w:p>
        </w:tc>
        <w:tc>
          <w:tcPr>
            <w:tcW w:w="6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1200" w:type="dxa"/>
            <w:vAlign w:val="bottom"/>
            <w:shd w:val="clear" w:color="auto" w:fill="E6E6E6"/>
          </w:tcPr>
          <w:p>
            <w:pPr>
              <w:spacing w:after="0"/>
              <w:rPr>
                <w:sz w:val="23"/>
                <w:szCs w:val="23"/>
                <w:color w:val="auto"/>
              </w:rPr>
            </w:pPr>
          </w:p>
        </w:tc>
      </w:tr>
      <w:tr>
        <w:trPr>
          <w:trHeight w:val="275"/>
        </w:trPr>
        <w:tc>
          <w:tcPr>
            <w:tcW w:w="6820" w:type="dxa"/>
            <w:vAlign w:val="bottom"/>
          </w:tcPr>
          <w:p>
            <w:pPr>
              <w:ind w:left="200"/>
              <w:spacing w:after="0"/>
              <w:rPr>
                <w:sz w:val="20"/>
                <w:szCs w:val="20"/>
                <w:color w:val="auto"/>
              </w:rPr>
            </w:pPr>
            <w:r>
              <w:rPr>
                <w:rFonts w:ascii="Arial" w:cs="Arial" w:eastAsia="Arial" w:hAnsi="Arial"/>
                <w:sz w:val="20"/>
                <w:szCs w:val="20"/>
                <w:color w:val="auto"/>
              </w:rPr>
              <w:t>Foreign tax credits</w:t>
            </w:r>
          </w:p>
        </w:tc>
        <w:tc>
          <w:tcPr>
            <w:tcW w:w="980" w:type="dxa"/>
            <w:vAlign w:val="bottom"/>
          </w:tcPr>
          <w:p>
            <w:pPr>
              <w:jc w:val="right"/>
              <w:ind w:right="748"/>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346</w:t>
            </w:r>
          </w:p>
        </w:tc>
        <w:tc>
          <w:tcPr>
            <w:tcW w:w="4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4,422</w:t>
            </w:r>
          </w:p>
        </w:tc>
      </w:tr>
      <w:tr>
        <w:trPr>
          <w:trHeight w:val="287"/>
        </w:trPr>
        <w:tc>
          <w:tcPr>
            <w:tcW w:w="6820" w:type="dxa"/>
            <w:vAlign w:val="bottom"/>
            <w:shd w:val="clear" w:color="auto" w:fill="E6E6E6"/>
          </w:tcPr>
          <w:p>
            <w:pPr>
              <w:ind w:left="200"/>
              <w:spacing w:after="0"/>
              <w:rPr>
                <w:sz w:val="20"/>
                <w:szCs w:val="20"/>
                <w:color w:val="auto"/>
              </w:rPr>
            </w:pPr>
            <w:r>
              <w:rPr>
                <w:rFonts w:ascii="Arial" w:cs="Arial" w:eastAsia="Arial" w:hAnsi="Arial"/>
                <w:sz w:val="20"/>
                <w:szCs w:val="20"/>
                <w:color w:val="auto"/>
              </w:rPr>
              <w:t>Federal net operating losses</w:t>
            </w:r>
          </w:p>
        </w:tc>
        <w:tc>
          <w:tcPr>
            <w:tcW w:w="98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3,783</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3,783</w:t>
            </w:r>
          </w:p>
        </w:tc>
      </w:tr>
      <w:tr>
        <w:trPr>
          <w:trHeight w:val="275"/>
        </w:trPr>
        <w:tc>
          <w:tcPr>
            <w:tcW w:w="6820" w:type="dxa"/>
            <w:vAlign w:val="bottom"/>
          </w:tcPr>
          <w:p>
            <w:pPr>
              <w:ind w:left="200"/>
              <w:spacing w:after="0"/>
              <w:rPr>
                <w:sz w:val="20"/>
                <w:szCs w:val="20"/>
                <w:color w:val="auto"/>
              </w:rPr>
            </w:pPr>
            <w:r>
              <w:rPr>
                <w:rFonts w:ascii="Arial" w:cs="Arial" w:eastAsia="Arial" w:hAnsi="Arial"/>
                <w:sz w:val="20"/>
                <w:szCs w:val="20"/>
                <w:color w:val="auto"/>
              </w:rPr>
              <w:t>State net operating loss carryforwards</w:t>
            </w:r>
          </w:p>
        </w:tc>
        <w:tc>
          <w:tcPr>
            <w:tcW w:w="9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4,734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4,809</w:t>
            </w:r>
          </w:p>
        </w:tc>
      </w:tr>
      <w:tr>
        <w:trPr>
          <w:trHeight w:val="287"/>
        </w:trPr>
        <w:tc>
          <w:tcPr>
            <w:tcW w:w="6820" w:type="dxa"/>
            <w:vAlign w:val="bottom"/>
            <w:shd w:val="clear" w:color="auto" w:fill="E6E6E6"/>
          </w:tcPr>
          <w:p>
            <w:pPr>
              <w:ind w:left="200"/>
              <w:spacing w:after="0"/>
              <w:rPr>
                <w:sz w:val="20"/>
                <w:szCs w:val="20"/>
                <w:color w:val="auto"/>
              </w:rPr>
            </w:pPr>
            <w:r>
              <w:rPr>
                <w:rFonts w:ascii="Arial" w:cs="Arial" w:eastAsia="Arial" w:hAnsi="Arial"/>
                <w:sz w:val="20"/>
                <w:szCs w:val="20"/>
                <w:color w:val="auto"/>
              </w:rPr>
              <w:t>Foreign net operating loss carryforwards</w:t>
            </w:r>
          </w:p>
        </w:tc>
        <w:tc>
          <w:tcPr>
            <w:tcW w:w="98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4"/>
              </w:rPr>
              <w:t>14,543</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17,464</w:t>
            </w:r>
          </w:p>
        </w:tc>
      </w:tr>
      <w:tr>
        <w:trPr>
          <w:trHeight w:val="275"/>
        </w:trPr>
        <w:tc>
          <w:tcPr>
            <w:tcW w:w="6820" w:type="dxa"/>
            <w:vAlign w:val="bottom"/>
          </w:tcPr>
          <w:p>
            <w:pPr>
              <w:ind w:left="200"/>
              <w:spacing w:after="0"/>
              <w:rPr>
                <w:sz w:val="20"/>
                <w:szCs w:val="20"/>
                <w:color w:val="auto"/>
              </w:rPr>
            </w:pPr>
            <w:r>
              <w:rPr>
                <w:rFonts w:ascii="Arial" w:cs="Arial" w:eastAsia="Arial" w:hAnsi="Arial"/>
                <w:sz w:val="20"/>
                <w:szCs w:val="20"/>
                <w:color w:val="auto"/>
              </w:rPr>
              <w:t>Deferred tax assets of a Canadian subsidiary</w:t>
            </w:r>
          </w:p>
        </w:tc>
        <w:tc>
          <w:tcPr>
            <w:tcW w:w="9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3,521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4,489</w:t>
            </w:r>
          </w:p>
        </w:tc>
      </w:tr>
      <w:tr>
        <w:trPr>
          <w:trHeight w:val="296"/>
        </w:trPr>
        <w:tc>
          <w:tcPr>
            <w:tcW w:w="682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20"/>
                <w:szCs w:val="20"/>
                <w:color w:val="auto"/>
              </w:rPr>
              <w:t>Realized and unrealized capital losses</w:t>
            </w:r>
          </w:p>
        </w:tc>
        <w:tc>
          <w:tcPr>
            <w:tcW w:w="98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305</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305</w:t>
            </w:r>
          </w:p>
        </w:tc>
      </w:tr>
      <w:tr>
        <w:trPr>
          <w:trHeight w:val="222"/>
        </w:trPr>
        <w:tc>
          <w:tcPr>
            <w:tcW w:w="6820" w:type="dxa"/>
            <w:vAlign w:val="bottom"/>
          </w:tcPr>
          <w:p>
            <w:pPr>
              <w:ind w:left="60"/>
              <w:spacing w:after="0" w:line="222" w:lineRule="exact"/>
              <w:rPr>
                <w:sz w:val="20"/>
                <w:szCs w:val="20"/>
                <w:color w:val="auto"/>
              </w:rPr>
            </w:pPr>
            <w:r>
              <w:rPr>
                <w:rFonts w:ascii="Arial" w:cs="Arial" w:eastAsia="Arial" w:hAnsi="Arial"/>
                <w:sz w:val="20"/>
                <w:szCs w:val="20"/>
                <w:color w:val="auto"/>
              </w:rPr>
              <w:t>Total valuation allowance</w:t>
            </w:r>
          </w:p>
        </w:tc>
        <w:tc>
          <w:tcPr>
            <w:tcW w:w="980" w:type="dxa"/>
            <w:vAlign w:val="bottom"/>
          </w:tcPr>
          <w:p>
            <w:pPr>
              <w:jc w:val="right"/>
              <w:ind w:right="748"/>
              <w:spacing w:after="0" w:line="222" w:lineRule="exact"/>
              <w:rPr>
                <w:sz w:val="20"/>
                <w:szCs w:val="20"/>
                <w:color w:val="auto"/>
              </w:rPr>
            </w:pPr>
            <w:r>
              <w:rPr>
                <w:rFonts w:ascii="Arial" w:cs="Arial" w:eastAsia="Arial" w:hAnsi="Arial"/>
                <w:sz w:val="20"/>
                <w:szCs w:val="20"/>
                <w:color w:val="auto"/>
              </w:rPr>
              <w:t>$</w:t>
            </w:r>
          </w:p>
        </w:tc>
        <w:tc>
          <w:tcPr>
            <w:tcW w:w="620" w:type="dxa"/>
            <w:vAlign w:val="bottom"/>
          </w:tcPr>
          <w:p>
            <w:pPr>
              <w:jc w:val="right"/>
              <w:spacing w:after="0" w:line="222" w:lineRule="exact"/>
              <w:rPr>
                <w:sz w:val="20"/>
                <w:szCs w:val="20"/>
                <w:color w:val="auto"/>
              </w:rPr>
            </w:pPr>
            <w:r>
              <w:rPr>
                <w:rFonts w:ascii="Arial" w:cs="Arial" w:eastAsia="Arial" w:hAnsi="Arial"/>
                <w:sz w:val="20"/>
                <w:szCs w:val="20"/>
                <w:color w:val="auto"/>
                <w:w w:val="84"/>
              </w:rPr>
              <w:t>27,232</w:t>
            </w:r>
          </w:p>
        </w:tc>
        <w:tc>
          <w:tcPr>
            <w:tcW w:w="48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22" w:lineRule="exact"/>
              <w:rPr>
                <w:sz w:val="20"/>
                <w:szCs w:val="20"/>
                <w:color w:val="auto"/>
              </w:rPr>
            </w:pPr>
            <w:r>
              <w:rPr>
                <w:rFonts w:ascii="Arial" w:cs="Arial" w:eastAsia="Arial" w:hAnsi="Arial"/>
                <w:sz w:val="20"/>
                <w:szCs w:val="20"/>
                <w:color w:val="auto"/>
              </w:rPr>
              <w:t>35,272</w:t>
            </w:r>
          </w:p>
        </w:tc>
      </w:tr>
      <w:tr>
        <w:trPr>
          <w:trHeight w:val="20"/>
        </w:trPr>
        <w:tc>
          <w:tcPr>
            <w:tcW w:w="6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-43180</wp:posOffset>
            </wp:positionV>
            <wp:extent cx="2108200" cy="50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6">
                      <a:extLst>
                        <a:ext uri="{28A0092B-C50C-407E-A947-70E740481C1C}"/>
                      </a:extLst>
                    </a:blip>
                    <a:srcRect/>
                    <a:stretch>
                      <a:fillRect/>
                    </a:stretch>
                  </pic:blipFill>
                  <pic:spPr bwMode="auto">
                    <a:xfrm>
                      <a:off x="0" y="0"/>
                      <a:ext cx="2108200" cy="50165"/>
                    </a:xfrm>
                    <a:prstGeom prst="rect">
                      <a:avLst/>
                    </a:prstGeom>
                    <a:noFill/>
                  </pic:spPr>
                </pic:pic>
              </a:graphicData>
            </a:graphic>
          </wp:anchor>
        </w:drawing>
      </w:r>
    </w:p>
    <w:p>
      <w:pPr>
        <w:spacing w:after="0" w:line="46" w:lineRule="exact"/>
        <w:rPr>
          <w:sz w:val="20"/>
          <w:szCs w:val="20"/>
          <w:color w:val="auto"/>
        </w:rPr>
      </w:pPr>
    </w:p>
    <w:p>
      <w:pPr>
        <w:ind w:right="60" w:firstLine="709"/>
        <w:spacing w:after="0" w:line="327" w:lineRule="auto"/>
        <w:rPr>
          <w:sz w:val="20"/>
          <w:szCs w:val="20"/>
          <w:color w:val="auto"/>
        </w:rPr>
      </w:pPr>
      <w:r>
        <w:rPr>
          <w:rFonts w:ascii="Arial" w:cs="Arial" w:eastAsia="Arial" w:hAnsi="Arial"/>
          <w:sz w:val="16"/>
          <w:szCs w:val="16"/>
          <w:color w:val="auto"/>
        </w:rPr>
        <w:t>The Company files U.S. federal income tax returns as well as income tax returns in various states and foreign jurisdictions. The Company may be subject to examination by the Internal Revenue Service for calendar years 2018 through 2022. The Company may be subject to examination by Canadian federal and provincial authorities for calendar years 2016 through 2022 and by state and local revenue authorities for calendar years 2017 through 2022. The Company has ongoing U.S., state and local jurisdictional audits, as well as Canadian federal and provincial audits, all of which the Company believes will not result in material liabilities. The Company has not identified any material uncertain tax positions in the periods presented.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EARNINGS PER SHARE</w:t>
      </w:r>
    </w:p>
    <w:p>
      <w:pPr>
        <w:spacing w:after="0" w:line="171" w:lineRule="exact"/>
        <w:rPr>
          <w:sz w:val="20"/>
          <w:szCs w:val="20"/>
          <w:color w:val="auto"/>
        </w:rPr>
      </w:pPr>
    </w:p>
    <w:p>
      <w:pPr>
        <w:ind w:right="140" w:firstLine="709"/>
        <w:spacing w:after="0" w:line="281" w:lineRule="auto"/>
        <w:rPr>
          <w:sz w:val="20"/>
          <w:szCs w:val="20"/>
          <w:color w:val="auto"/>
        </w:rPr>
      </w:pPr>
      <w:r>
        <w:rPr>
          <w:rFonts w:ascii="Arial" w:cs="Arial" w:eastAsia="Arial" w:hAnsi="Arial"/>
          <w:sz w:val="19"/>
          <w:szCs w:val="19"/>
          <w:color w:val="auto"/>
        </w:rPr>
        <w:t>The computation of basic earnings per share (EPS) is based on the weighted-average number of our common shares outstanding. The computation of diluted EPS is based on the weighted-average number of our common shares outstanding and potential dilutive common shares during the period as determined by using the treasury stock method.</w:t>
      </w:r>
    </w:p>
    <w:p>
      <w:pPr>
        <w:spacing w:after="0" w:line="9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are computations of basic and diluted earnings per share (in thousands, except for per share amounts):</w:t>
      </w:r>
    </w:p>
    <w:p>
      <w:pPr>
        <w:spacing w:after="0" w:line="162" w:lineRule="exact"/>
        <w:rPr>
          <w:sz w:val="20"/>
          <w:szCs w:val="20"/>
          <w:color w:val="auto"/>
        </w:rPr>
      </w:pPr>
    </w:p>
    <w:p>
      <w:pPr>
        <w:ind w:left="6720"/>
        <w:spacing w:after="0"/>
        <w:rPr>
          <w:sz w:val="20"/>
          <w:szCs w:val="20"/>
          <w:color w:val="auto"/>
        </w:rPr>
      </w:pPr>
      <w:r>
        <w:rPr>
          <w:rFonts w:ascii="Arial" w:cs="Arial" w:eastAsia="Arial" w:hAnsi="Arial"/>
          <w:sz w:val="16"/>
          <w:szCs w:val="16"/>
          <w:b w:val="1"/>
          <w:bCs w:val="1"/>
          <w:color w:val="auto"/>
        </w:rPr>
        <w:t>For the 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40" w:type="dxa"/>
            <w:vAlign w:val="bottom"/>
            <w:tcBorders>
              <w:bottom w:val="single" w:sz="8" w:color="E6E6E6"/>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E6E6E6"/>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E6E6E6"/>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6"/>
                <w:szCs w:val="16"/>
                <w:b w:val="1"/>
                <w:bCs w:val="1"/>
                <w:color w:val="auto"/>
              </w:rPr>
              <w:t>2022</w:t>
            </w:r>
          </w:p>
        </w:tc>
      </w:tr>
      <w:tr>
        <w:trPr>
          <w:trHeight w:val="271"/>
        </w:trPr>
        <w:tc>
          <w:tcPr>
            <w:tcW w:w="5640" w:type="dxa"/>
            <w:vAlign w:val="bottom"/>
            <w:shd w:val="clear" w:color="auto" w:fill="E6E6E6"/>
          </w:tcPr>
          <w:p>
            <w:pPr>
              <w:ind w:left="60"/>
              <w:spacing w:after="0"/>
              <w:rPr>
                <w:sz w:val="20"/>
                <w:szCs w:val="20"/>
                <w:color w:val="auto"/>
              </w:rPr>
            </w:pPr>
            <w:r>
              <w:rPr>
                <w:rFonts w:ascii="Arial" w:cs="Arial" w:eastAsia="Arial" w:hAnsi="Arial"/>
                <w:sz w:val="20"/>
                <w:szCs w:val="20"/>
                <w:color w:val="auto"/>
              </w:rPr>
              <w:t>Numerator for basic and diluted earnings per share:</w:t>
            </w:r>
          </w:p>
        </w:tc>
        <w:tc>
          <w:tcPr>
            <w:tcW w:w="360" w:type="dxa"/>
            <w:vAlign w:val="bottom"/>
            <w:shd w:val="clear" w:color="auto" w:fill="E6E6E6"/>
          </w:tcPr>
          <w:p>
            <w:pPr>
              <w:spacing w:after="0"/>
              <w:rPr>
                <w:sz w:val="23"/>
                <w:szCs w:val="23"/>
                <w:color w:val="auto"/>
              </w:rPr>
            </w:pPr>
          </w:p>
        </w:tc>
        <w:tc>
          <w:tcPr>
            <w:tcW w:w="10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60" w:type="dxa"/>
            <w:vAlign w:val="bottom"/>
            <w:shd w:val="clear" w:color="auto" w:fill="E6E6E6"/>
          </w:tcPr>
          <w:p>
            <w:pPr>
              <w:spacing w:after="0"/>
              <w:rPr>
                <w:sz w:val="23"/>
                <w:szCs w:val="23"/>
                <w:color w:val="auto"/>
              </w:rPr>
            </w:pPr>
          </w:p>
        </w:tc>
        <w:tc>
          <w:tcPr>
            <w:tcW w:w="10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60" w:type="dxa"/>
            <w:vAlign w:val="bottom"/>
            <w:shd w:val="clear" w:color="auto" w:fill="E6E6E6"/>
          </w:tcPr>
          <w:p>
            <w:pPr>
              <w:spacing w:after="0"/>
              <w:rPr>
                <w:sz w:val="23"/>
                <w:szCs w:val="23"/>
                <w:color w:val="auto"/>
              </w:rPr>
            </w:pPr>
          </w:p>
        </w:tc>
        <w:tc>
          <w:tcPr>
            <w:tcW w:w="1100" w:type="dxa"/>
            <w:vAlign w:val="bottom"/>
            <w:shd w:val="clear" w:color="auto" w:fill="E6E6E6"/>
          </w:tcPr>
          <w:p>
            <w:pPr>
              <w:spacing w:after="0"/>
              <w:rPr>
                <w:sz w:val="23"/>
                <w:szCs w:val="23"/>
                <w:color w:val="auto"/>
              </w:rPr>
            </w:pPr>
          </w:p>
        </w:tc>
      </w:tr>
      <w:tr>
        <w:trPr>
          <w:trHeight w:val="275"/>
        </w:trPr>
        <w:tc>
          <w:tcPr>
            <w:tcW w:w="5640" w:type="dxa"/>
            <w:vAlign w:val="bottom"/>
          </w:tcPr>
          <w:p>
            <w:pPr>
              <w:ind w:left="200"/>
              <w:spacing w:after="0"/>
              <w:rPr>
                <w:sz w:val="20"/>
                <w:szCs w:val="20"/>
                <w:color w:val="auto"/>
              </w:rPr>
            </w:pPr>
            <w:r>
              <w:rPr>
                <w:rFonts w:ascii="Arial" w:cs="Arial" w:eastAsia="Arial" w:hAnsi="Arial"/>
                <w:sz w:val="20"/>
                <w:szCs w:val="20"/>
                <w:color w:val="auto"/>
              </w:rPr>
              <w:t>Net income</w:t>
            </w:r>
          </w:p>
        </w:tc>
        <w:tc>
          <w:tcPr>
            <w:tcW w:w="36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402,299</w:t>
            </w:r>
          </w:p>
        </w:tc>
        <w:tc>
          <w:tcPr>
            <w:tcW w:w="44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377,856</w:t>
            </w:r>
          </w:p>
        </w:tc>
        <w:tc>
          <w:tcPr>
            <w:tcW w:w="44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411,744</w:t>
            </w:r>
          </w:p>
        </w:tc>
      </w:tr>
      <w:tr>
        <w:trPr>
          <w:trHeight w:val="287"/>
        </w:trPr>
        <w:tc>
          <w:tcPr>
            <w:tcW w:w="5640" w:type="dxa"/>
            <w:vAlign w:val="bottom"/>
            <w:shd w:val="clear" w:color="auto" w:fill="E6E6E6"/>
          </w:tcPr>
          <w:p>
            <w:pPr>
              <w:ind w:left="60"/>
              <w:spacing w:after="0"/>
              <w:rPr>
                <w:sz w:val="20"/>
                <w:szCs w:val="20"/>
                <w:color w:val="auto"/>
              </w:rPr>
            </w:pPr>
            <w:r>
              <w:rPr>
                <w:rFonts w:ascii="Arial" w:cs="Arial" w:eastAsia="Arial" w:hAnsi="Arial"/>
                <w:sz w:val="20"/>
                <w:szCs w:val="20"/>
                <w:color w:val="auto"/>
              </w:rPr>
              <w:t>Denominator:</w:t>
            </w:r>
          </w:p>
        </w:tc>
        <w:tc>
          <w:tcPr>
            <w:tcW w:w="36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r>
      <w:tr>
        <w:trPr>
          <w:trHeight w:val="275"/>
        </w:trPr>
        <w:tc>
          <w:tcPr>
            <w:tcW w:w="5640" w:type="dxa"/>
            <w:vAlign w:val="bottom"/>
          </w:tcPr>
          <w:p>
            <w:pPr>
              <w:ind w:left="200"/>
              <w:spacing w:after="0"/>
              <w:rPr>
                <w:sz w:val="20"/>
                <w:szCs w:val="20"/>
                <w:color w:val="auto"/>
              </w:rPr>
            </w:pPr>
            <w:r>
              <w:rPr>
                <w:rFonts w:ascii="Arial" w:cs="Arial" w:eastAsia="Arial" w:hAnsi="Arial"/>
                <w:sz w:val="20"/>
                <w:szCs w:val="20"/>
                <w:color w:val="auto"/>
              </w:rPr>
              <w:t>Weighted-average shares outstanding, basic</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53,902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54,071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54,223</w:t>
            </w:r>
          </w:p>
        </w:tc>
      </w:tr>
      <w:tr>
        <w:trPr>
          <w:trHeight w:val="296"/>
        </w:trPr>
        <w:tc>
          <w:tcPr>
            <w:tcW w:w="564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20"/>
                <w:szCs w:val="20"/>
                <w:color w:val="auto"/>
              </w:rPr>
              <w:t>Dilutive impact of equity awards</w:t>
            </w:r>
          </w:p>
        </w:tc>
        <w:tc>
          <w:tcPr>
            <w:tcW w:w="36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297</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311</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264</w:t>
            </w:r>
          </w:p>
        </w:tc>
      </w:tr>
      <w:tr>
        <w:trPr>
          <w:trHeight w:val="261"/>
        </w:trPr>
        <w:tc>
          <w:tcPr>
            <w:tcW w:w="5640" w:type="dxa"/>
            <w:vAlign w:val="bottom"/>
            <w:tcBorders>
              <w:bottom w:val="single" w:sz="8" w:color="E6E6E6"/>
            </w:tcBorders>
          </w:tcPr>
          <w:p>
            <w:pPr>
              <w:ind w:left="200"/>
              <w:spacing w:after="0" w:line="222" w:lineRule="exact"/>
              <w:rPr>
                <w:sz w:val="20"/>
                <w:szCs w:val="20"/>
                <w:color w:val="auto"/>
              </w:rPr>
            </w:pPr>
            <w:r>
              <w:rPr>
                <w:rFonts w:ascii="Arial" w:cs="Arial" w:eastAsia="Arial" w:hAnsi="Arial"/>
                <w:sz w:val="20"/>
                <w:szCs w:val="20"/>
                <w:color w:val="auto"/>
              </w:rPr>
              <w:t>Weighted-average shares outstanding, diluted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54,199</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54,382</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0"/>
                <w:szCs w:val="20"/>
                <w:color w:val="auto"/>
              </w:rPr>
              <w:t>54,487</w:t>
            </w:r>
          </w:p>
        </w:tc>
      </w:tr>
      <w:tr>
        <w:trPr>
          <w:trHeight w:val="251"/>
        </w:trPr>
        <w:tc>
          <w:tcPr>
            <w:tcW w:w="564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0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08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100" w:type="dxa"/>
            <w:vAlign w:val="bottom"/>
            <w:shd w:val="clear" w:color="auto" w:fill="E6E6E6"/>
          </w:tcPr>
          <w:p>
            <w:pPr>
              <w:spacing w:after="0"/>
              <w:rPr>
                <w:sz w:val="21"/>
                <w:szCs w:val="21"/>
                <w:color w:val="auto"/>
              </w:rPr>
            </w:pPr>
          </w:p>
        </w:tc>
      </w:tr>
      <w:tr>
        <w:trPr>
          <w:trHeight w:val="290"/>
        </w:trPr>
        <w:tc>
          <w:tcPr>
            <w:tcW w:w="5640" w:type="dxa"/>
            <w:vAlign w:val="bottom"/>
          </w:tcPr>
          <w:p>
            <w:pPr>
              <w:ind w:left="60"/>
              <w:spacing w:after="0"/>
              <w:rPr>
                <w:sz w:val="20"/>
                <w:szCs w:val="20"/>
                <w:color w:val="auto"/>
              </w:rPr>
            </w:pPr>
            <w:r>
              <w:rPr>
                <w:rFonts w:ascii="Arial" w:cs="Arial" w:eastAsia="Arial" w:hAnsi="Arial"/>
                <w:sz w:val="20"/>
                <w:szCs w:val="20"/>
                <w:color w:val="auto"/>
              </w:rPr>
              <w:t>Basic earnings per share</w:t>
            </w:r>
          </w:p>
        </w:tc>
        <w:tc>
          <w:tcPr>
            <w:tcW w:w="36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7.46</w:t>
            </w:r>
          </w:p>
        </w:tc>
        <w:tc>
          <w:tcPr>
            <w:tcW w:w="44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6.99</w:t>
            </w:r>
          </w:p>
        </w:tc>
        <w:tc>
          <w:tcPr>
            <w:tcW w:w="44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7.59</w:t>
            </w:r>
          </w:p>
        </w:tc>
      </w:tr>
      <w:tr>
        <w:trPr>
          <w:trHeight w:val="261"/>
        </w:trPr>
        <w:tc>
          <w:tcPr>
            <w:tcW w:w="5640" w:type="dxa"/>
            <w:vAlign w:val="bottom"/>
            <w:tcBorders>
              <w:top w:val="single" w:sz="8" w:color="E6E6E6"/>
              <w:bottom w:val="single" w:sz="8" w:color="E6E6E6"/>
            </w:tcBorders>
            <w:shd w:val="clear" w:color="auto" w:fill="E6E6E6"/>
          </w:tcPr>
          <w:p>
            <w:pPr>
              <w:ind w:left="60"/>
              <w:spacing w:after="0" w:line="222" w:lineRule="exact"/>
              <w:rPr>
                <w:sz w:val="20"/>
                <w:szCs w:val="20"/>
                <w:color w:val="auto"/>
              </w:rPr>
            </w:pPr>
            <w:r>
              <w:rPr>
                <w:rFonts w:ascii="Arial" w:cs="Arial" w:eastAsia="Arial" w:hAnsi="Arial"/>
                <w:sz w:val="20"/>
                <w:szCs w:val="20"/>
                <w:color w:val="auto"/>
              </w:rPr>
              <w:t>Diluted earnings per share</w:t>
            </w:r>
          </w:p>
        </w:tc>
        <w:tc>
          <w:tcPr>
            <w:tcW w:w="360" w:type="dxa"/>
            <w:vAlign w:val="bottom"/>
            <w:tcBorders>
              <w:top w:val="single" w:sz="8" w:color="auto"/>
              <w:bottom w:val="single" w:sz="8" w:color="auto"/>
            </w:tcBorders>
            <w:shd w:val="clear" w:color="auto" w:fill="E6E6E6"/>
          </w:tcPr>
          <w:p>
            <w:pPr>
              <w:jc w:val="right"/>
              <w:ind w:right="122"/>
              <w:spacing w:after="0" w:line="222"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tcBorders>
            <w:shd w:val="clear" w:color="auto" w:fill="E6E6E6"/>
          </w:tcPr>
          <w:p>
            <w:pPr>
              <w:jc w:val="right"/>
              <w:spacing w:after="0" w:line="222" w:lineRule="exact"/>
              <w:rPr>
                <w:sz w:val="20"/>
                <w:szCs w:val="20"/>
                <w:color w:val="auto"/>
              </w:rPr>
            </w:pPr>
            <w:r>
              <w:rPr>
                <w:rFonts w:ascii="Arial" w:cs="Arial" w:eastAsia="Arial" w:hAnsi="Arial"/>
                <w:sz w:val="20"/>
                <w:szCs w:val="20"/>
                <w:color w:val="auto"/>
              </w:rPr>
              <w:t>7.42</w:t>
            </w: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360" w:type="dxa"/>
            <w:vAlign w:val="bottom"/>
            <w:tcBorders>
              <w:top w:val="single" w:sz="8" w:color="auto"/>
              <w:bottom w:val="single" w:sz="8" w:color="auto"/>
            </w:tcBorders>
            <w:shd w:val="clear" w:color="auto" w:fill="E6E6E6"/>
          </w:tcPr>
          <w:p>
            <w:pPr>
              <w:jc w:val="right"/>
              <w:ind w:right="102"/>
              <w:spacing w:after="0" w:line="222"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shd w:val="clear" w:color="auto" w:fill="E6E6E6"/>
          </w:tcPr>
          <w:p>
            <w:pPr>
              <w:jc w:val="right"/>
              <w:spacing w:after="0" w:line="222" w:lineRule="exact"/>
              <w:rPr>
                <w:sz w:val="20"/>
                <w:szCs w:val="20"/>
                <w:color w:val="auto"/>
              </w:rPr>
            </w:pPr>
            <w:r>
              <w:rPr>
                <w:rFonts w:ascii="Arial" w:cs="Arial" w:eastAsia="Arial" w:hAnsi="Arial"/>
                <w:sz w:val="20"/>
                <w:szCs w:val="20"/>
                <w:color w:val="auto"/>
              </w:rPr>
              <w:t>6.95</w:t>
            </w: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360" w:type="dxa"/>
            <w:vAlign w:val="bottom"/>
            <w:tcBorders>
              <w:top w:val="single" w:sz="8" w:color="auto"/>
              <w:bottom w:val="single" w:sz="8" w:color="auto"/>
            </w:tcBorders>
            <w:shd w:val="clear" w:color="auto" w:fill="E6E6E6"/>
          </w:tcPr>
          <w:p>
            <w:pPr>
              <w:jc w:val="right"/>
              <w:ind w:right="122"/>
              <w:spacing w:after="0" w:line="222"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shd w:val="clear" w:color="auto" w:fill="E6E6E6"/>
          </w:tcPr>
          <w:p>
            <w:pPr>
              <w:jc w:val="right"/>
              <w:spacing w:after="0" w:line="222" w:lineRule="exact"/>
              <w:rPr>
                <w:sz w:val="20"/>
                <w:szCs w:val="20"/>
                <w:color w:val="auto"/>
              </w:rPr>
            </w:pPr>
            <w:r>
              <w:rPr>
                <w:rFonts w:ascii="Arial" w:cs="Arial" w:eastAsia="Arial" w:hAnsi="Arial"/>
                <w:sz w:val="20"/>
                <w:szCs w:val="20"/>
                <w:color w:val="auto"/>
              </w:rPr>
              <w:t>7.56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-577850</wp:posOffset>
            </wp:positionV>
            <wp:extent cx="2868295" cy="50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7">
                      <a:extLst>
                        <a:ext uri="{28A0092B-C50C-407E-A947-70E740481C1C}"/>
                      </a:extLst>
                    </a:blip>
                    <a:srcRect/>
                    <a:stretch>
                      <a:fillRect/>
                    </a:stretch>
                  </pic:blipFill>
                  <pic:spPr bwMode="auto">
                    <a:xfrm>
                      <a:off x="0" y="0"/>
                      <a:ext cx="2868295" cy="5016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-221615</wp:posOffset>
            </wp:positionV>
            <wp:extent cx="2868295" cy="501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8">
                      <a:extLst>
                        <a:ext uri="{28A0092B-C50C-407E-A947-70E740481C1C}"/>
                      </a:extLst>
                    </a:blip>
                    <a:srcRect/>
                    <a:stretch>
                      <a:fillRect/>
                    </a:stretch>
                  </pic:blipFill>
                  <pic:spPr bwMode="auto">
                    <a:xfrm>
                      <a:off x="0" y="0"/>
                      <a:ext cx="2868295" cy="5016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-43180</wp:posOffset>
            </wp:positionV>
            <wp:extent cx="2868295" cy="5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9">
                      <a:extLst>
                        <a:ext uri="{28A0092B-C50C-407E-A947-70E740481C1C}"/>
                      </a:extLst>
                    </a:blip>
                    <a:srcRect/>
                    <a:stretch>
                      <a:fillRect/>
                    </a:stretch>
                  </pic:blipFill>
                  <pic:spPr bwMode="auto">
                    <a:xfrm>
                      <a:off x="0" y="0"/>
                      <a:ext cx="2868295" cy="50165"/>
                    </a:xfrm>
                    <a:prstGeom prst="rect">
                      <a:avLst/>
                    </a:prstGeom>
                    <a:noFill/>
                  </pic:spPr>
                </pic:pic>
              </a:graphicData>
            </a:graphic>
          </wp:anchor>
        </w:drawing>
      </w:r>
    </w:p>
    <w:p>
      <w:pPr>
        <w:spacing w:after="0" w:line="145" w:lineRule="exact"/>
        <w:rPr>
          <w:sz w:val="20"/>
          <w:szCs w:val="20"/>
          <w:color w:val="auto"/>
        </w:rPr>
      </w:pPr>
    </w:p>
    <w:p>
      <w:pPr>
        <w:ind w:right="280" w:firstLine="709"/>
        <w:spacing w:after="0" w:line="281" w:lineRule="auto"/>
        <w:rPr>
          <w:sz w:val="20"/>
          <w:szCs w:val="20"/>
          <w:color w:val="auto"/>
        </w:rPr>
      </w:pPr>
      <w:r>
        <w:rPr>
          <w:rFonts w:ascii="Arial" w:cs="Arial" w:eastAsia="Arial" w:hAnsi="Arial"/>
          <w:sz w:val="19"/>
          <w:szCs w:val="19"/>
          <w:color w:val="auto"/>
        </w:rPr>
        <w:t>In the table above, potentially dilutive shares outstanding include the dilutive effect of unvested restricted stock awards. Shares under the Employee Stock Purchase Plan (“ESPP”) which commenced in 2024 were issued on the last day of the year and therefore are included in the weighted-average shares outstanding when issued.</w:t>
      </w:r>
    </w:p>
    <w:p>
      <w:pPr>
        <w:spacing w:after="0" w:line="99" w:lineRule="exact"/>
        <w:rPr>
          <w:sz w:val="20"/>
          <w:szCs w:val="20"/>
          <w:color w:val="auto"/>
        </w:rPr>
      </w:pPr>
    </w:p>
    <w:p>
      <w:pPr>
        <w:ind w:right="420" w:firstLine="709"/>
        <w:spacing w:after="0" w:line="303" w:lineRule="auto"/>
        <w:rPr>
          <w:sz w:val="20"/>
          <w:szCs w:val="20"/>
          <w:color w:val="auto"/>
        </w:rPr>
      </w:pPr>
      <w:r>
        <w:rPr>
          <w:rFonts w:ascii="Arial" w:cs="Arial" w:eastAsia="Arial" w:hAnsi="Arial"/>
          <w:sz w:val="18"/>
          <w:szCs w:val="18"/>
          <w:color w:val="auto"/>
        </w:rPr>
        <w:t>Potentially dilutive shares whose effect would have been antidilutive have been excluded from the computation of diluted earnings per share. The Company included all outstanding performance awards and restricted stock awards in the calculation of diluted earnings per share except as shown in the table below (in thousands):</w:t>
      </w:r>
    </w:p>
    <w:p>
      <w:pPr>
        <w:spacing w:after="0" w:line="97" w:lineRule="exact"/>
        <w:rPr>
          <w:sz w:val="20"/>
          <w:szCs w:val="20"/>
          <w:color w:val="auto"/>
        </w:rPr>
      </w:pPr>
    </w:p>
    <w:p>
      <w:pPr>
        <w:ind w:left="672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40" w:type="dxa"/>
            <w:vAlign w:val="bottom"/>
            <w:tcBorders>
              <w:bottom w:val="single" w:sz="8" w:color="E6E6E6"/>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E6E6E6"/>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E6E6E6"/>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71"/>
        </w:trPr>
        <w:tc>
          <w:tcPr>
            <w:tcW w:w="66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Antidilutive restricted stock awards</w:t>
            </w:r>
          </w:p>
        </w:tc>
        <w:tc>
          <w:tcPr>
            <w:tcW w:w="4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w:t>
            </w:r>
          </w:p>
        </w:tc>
        <w:tc>
          <w:tcPr>
            <w:tcW w:w="1520" w:type="dxa"/>
            <w:vAlign w:val="bottom"/>
            <w:gridSpan w:val="2"/>
            <w:shd w:val="clear" w:color="auto" w:fill="E6E6E6"/>
          </w:tcPr>
          <w:p>
            <w:pPr>
              <w:jc w:val="right"/>
              <w:ind w:right="1"/>
              <w:spacing w:after="0"/>
              <w:rPr>
                <w:sz w:val="20"/>
                <w:szCs w:val="20"/>
                <w:color w:val="auto"/>
              </w:rPr>
            </w:pPr>
            <w:r>
              <w:rPr>
                <w:rFonts w:ascii="Arial" w:cs="Arial" w:eastAsia="Arial" w:hAnsi="Arial"/>
                <w:sz w:val="20"/>
                <w:szCs w:val="20"/>
                <w:color w:val="auto"/>
              </w:rPr>
              <w:t>12</w:t>
            </w:r>
          </w:p>
        </w:tc>
        <w:tc>
          <w:tcPr>
            <w:tcW w:w="15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189"/>
        </w:trPr>
        <w:tc>
          <w:tcPr>
            <w:tcW w:w="6660" w:type="dxa"/>
            <w:vAlign w:val="bottom"/>
            <w:gridSpan w:val="2"/>
          </w:tcPr>
          <w:p>
            <w:pPr>
              <w:ind w:left="60"/>
              <w:spacing w:after="0" w:line="189" w:lineRule="exact"/>
              <w:rPr>
                <w:sz w:val="20"/>
                <w:szCs w:val="20"/>
                <w:color w:val="auto"/>
              </w:rPr>
            </w:pPr>
            <w:r>
              <w:rPr>
                <w:rFonts w:ascii="Arial" w:cs="Arial" w:eastAsia="Arial" w:hAnsi="Arial"/>
                <w:sz w:val="20"/>
                <w:szCs w:val="20"/>
                <w:color w:val="auto"/>
              </w:rPr>
              <w:t>Performance stock awards for which performance criteria was not</w:t>
            </w: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39</w:t>
            </w:r>
          </w:p>
        </w:tc>
        <w:tc>
          <w:tcPr>
            <w:tcW w:w="152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89</w:t>
            </w:r>
          </w:p>
        </w:tc>
        <w:tc>
          <w:tcPr>
            <w:tcW w:w="8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6660" w:type="dxa"/>
            <w:vAlign w:val="bottom"/>
            <w:gridSpan w:val="2"/>
          </w:tcPr>
          <w:p>
            <w:pPr>
              <w:ind w:left="60"/>
              <w:spacing w:after="0"/>
              <w:rPr>
                <w:sz w:val="20"/>
                <w:szCs w:val="20"/>
                <w:color w:val="auto"/>
              </w:rPr>
            </w:pPr>
            <w:r>
              <w:rPr>
                <w:rFonts w:ascii="Arial" w:cs="Arial" w:eastAsia="Arial" w:hAnsi="Arial"/>
                <w:sz w:val="20"/>
                <w:szCs w:val="20"/>
                <w:color w:val="auto"/>
              </w:rPr>
              <w:t>attained at reporting date</w:t>
            </w:r>
          </w:p>
        </w:tc>
        <w:tc>
          <w:tcPr>
            <w:tcW w:w="400" w:type="dxa"/>
            <w:vAlign w:val="bottom"/>
            <w:vMerge w:val="continue"/>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880" w:h="15480" w:orient="portrait"/>
          <w:cols w:equalWidth="0" w:num="1">
            <w:col w:w="10120"/>
          </w:cols>
          <w:pgMar w:left="880" w:top="338" w:right="880" w:bottom="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STOCKHOLDERS' EQUITY</w:t>
      </w:r>
    </w:p>
    <w:p>
      <w:pPr>
        <w:spacing w:after="0" w:line="171" w:lineRule="exact"/>
        <w:rPr>
          <w:sz w:val="20"/>
          <w:szCs w:val="20"/>
          <w:color w:val="auto"/>
        </w:rPr>
      </w:pPr>
    </w:p>
    <w:p>
      <w:pPr>
        <w:ind w:right="140" w:firstLine="709"/>
        <w:spacing w:after="0" w:line="267" w:lineRule="auto"/>
        <w:rPr>
          <w:sz w:val="20"/>
          <w:szCs w:val="20"/>
          <w:color w:val="auto"/>
        </w:rPr>
      </w:pPr>
      <w:r>
        <w:rPr>
          <w:rFonts w:ascii="Arial" w:cs="Arial" w:eastAsia="Arial" w:hAnsi="Arial"/>
          <w:sz w:val="18"/>
          <w:szCs w:val="18"/>
          <w:color w:val="auto"/>
        </w:rPr>
        <w:t>The Company’s Board of Directors has authorized the repurchase of up to $1.1 billion of the Company’s common stock. The repurchase program authorizes the Company to purchase the Company's common stock on the open market or in privately negotiated transactions periodically in a manner that complies with applicable U.S. securities laws. The number of shares purchased and the timing of the purchases have depended and will depend on a number of factors including share price, cash required for future business plans, trading volume and other conditions. The Company has no obligation to repurchase stock under this program and may suspend or terminate the repurchase program at any time.</w:t>
      </w:r>
    </w:p>
    <w:p>
      <w:pPr>
        <w:spacing w:after="0" w:line="163" w:lineRule="exact"/>
        <w:rPr>
          <w:sz w:val="20"/>
          <w:szCs w:val="20"/>
          <w:color w:val="auto"/>
        </w:rPr>
      </w:pPr>
    </w:p>
    <w:p>
      <w:pPr>
        <w:ind w:right="80" w:firstLine="709"/>
        <w:spacing w:after="0" w:line="261" w:lineRule="auto"/>
        <w:rPr>
          <w:sz w:val="20"/>
          <w:szCs w:val="20"/>
          <w:color w:val="auto"/>
        </w:rPr>
      </w:pPr>
      <w:r>
        <w:rPr>
          <w:rFonts w:ascii="Arial" w:cs="Arial" w:eastAsia="Arial" w:hAnsi="Arial"/>
          <w:sz w:val="20"/>
          <w:szCs w:val="20"/>
          <w:color w:val="auto"/>
        </w:rPr>
        <w:t>During the years ended December 31, 2024, 2023 and 2022, the Company repurchased and retired a total of 0.2 million, 0.3 million and 0.5 million shares, respectively, of the Company's common stock for total costs of $55.0 million, $51.2 million and $50.2 million, respectively.</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December 31, 2024, an additional $499.1 million remained available to repurchase shares under this program.</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ACCUMULATED OTHER COMPREHENSIVE LOSS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changes in accumulated other comprehensive loss by component and related tax impacts for the years ended</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2024, 2023 and 2022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Unrealized</w:t>
            </w:r>
          </w:p>
        </w:tc>
        <w:tc>
          <w:tcPr>
            <w:tcW w:w="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Unrealized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Foreign</w:t>
            </w:r>
          </w:p>
        </w:tc>
        <w:tc>
          <w:tcPr>
            <w:tcW w:w="8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8"/>
              </w:rPr>
              <w:t>(Loss) Gain</w:t>
            </w:r>
          </w:p>
        </w:tc>
        <w:tc>
          <w:tcPr>
            <w:tcW w:w="8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8"/>
              </w:rPr>
              <w:t>(Loss) Gain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45"/>
              <w:spacing w:after="0" w:line="158" w:lineRule="exact"/>
              <w:rPr>
                <w:sz w:val="20"/>
                <w:szCs w:val="20"/>
                <w:color w:val="auto"/>
              </w:rPr>
            </w:pPr>
            <w:r>
              <w:rPr>
                <w:rFonts w:ascii="Arial" w:cs="Arial" w:eastAsia="Arial" w:hAnsi="Arial"/>
                <w:sz w:val="16"/>
                <w:szCs w:val="16"/>
                <w:b w:val="1"/>
                <w:bCs w:val="1"/>
                <w:color w:val="auto"/>
                <w:w w:val="91"/>
              </w:rPr>
              <w:t>on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85"/>
              <w:spacing w:after="0" w:line="158" w:lineRule="exact"/>
              <w:rPr>
                <w:sz w:val="20"/>
                <w:szCs w:val="20"/>
                <w:color w:val="auto"/>
              </w:rPr>
            </w:pPr>
            <w:r>
              <w:rPr>
                <w:rFonts w:ascii="Arial" w:cs="Arial" w:eastAsia="Arial" w:hAnsi="Arial"/>
                <w:sz w:val="16"/>
                <w:szCs w:val="16"/>
                <w:b w:val="1"/>
                <w:bCs w:val="1"/>
                <w:color w:val="auto"/>
                <w:w w:val="93"/>
              </w:rPr>
              <w:t>on Fair</w:t>
            </w:r>
          </w:p>
        </w:tc>
        <w:tc>
          <w:tcPr>
            <w:tcW w:w="80" w:type="dxa"/>
            <w:vAlign w:val="bottom"/>
          </w:tcPr>
          <w:p>
            <w:pPr>
              <w:spacing w:after="0"/>
              <w:rPr>
                <w:sz w:val="13"/>
                <w:szCs w:val="13"/>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Currency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45"/>
              <w:spacing w:after="0" w:line="158" w:lineRule="exact"/>
              <w:rPr>
                <w:sz w:val="20"/>
                <w:szCs w:val="20"/>
                <w:color w:val="auto"/>
              </w:rPr>
            </w:pPr>
            <w:r>
              <w:rPr>
                <w:rFonts w:ascii="Arial" w:cs="Arial" w:eastAsia="Arial" w:hAnsi="Arial"/>
                <w:sz w:val="16"/>
                <w:szCs w:val="16"/>
                <w:b w:val="1"/>
                <w:bCs w:val="1"/>
                <w:color w:val="auto"/>
                <w:w w:val="92"/>
              </w:rPr>
              <w:t>Available-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85"/>
              <w:spacing w:after="0" w:line="158" w:lineRule="exact"/>
              <w:rPr>
                <w:sz w:val="20"/>
                <w:szCs w:val="20"/>
                <w:color w:val="auto"/>
              </w:rPr>
            </w:pPr>
            <w:r>
              <w:rPr>
                <w:rFonts w:ascii="Arial" w:cs="Arial" w:eastAsia="Arial" w:hAnsi="Arial"/>
                <w:sz w:val="16"/>
                <w:szCs w:val="16"/>
                <w:b w:val="1"/>
                <w:bCs w:val="1"/>
                <w:color w:val="auto"/>
                <w:w w:val="93"/>
              </w:rPr>
              <w:t>Value of</w:t>
            </w:r>
          </w:p>
        </w:tc>
        <w:tc>
          <w:tcPr>
            <w:tcW w:w="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Translation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45"/>
              <w:spacing w:after="0" w:line="158" w:lineRule="exact"/>
              <w:rPr>
                <w:sz w:val="20"/>
                <w:szCs w:val="20"/>
                <w:color w:val="auto"/>
              </w:rPr>
            </w:pPr>
            <w:r>
              <w:rPr>
                <w:rFonts w:ascii="Arial" w:cs="Arial" w:eastAsia="Arial" w:hAnsi="Arial"/>
                <w:sz w:val="16"/>
                <w:szCs w:val="16"/>
                <w:b w:val="1"/>
                <w:bCs w:val="1"/>
                <w:color w:val="auto"/>
                <w:w w:val="90"/>
              </w:rPr>
              <w:t>For-Sale</w:t>
            </w:r>
          </w:p>
        </w:tc>
        <w:tc>
          <w:tcPr>
            <w:tcW w:w="8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0"/>
              </w:rPr>
              <w:t>Interest Rate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124"/>
              <w:spacing w:after="0" w:line="158" w:lineRule="exact"/>
              <w:rPr>
                <w:sz w:val="20"/>
                <w:szCs w:val="20"/>
                <w:color w:val="auto"/>
              </w:rPr>
            </w:pPr>
            <w:r>
              <w:rPr>
                <w:rFonts w:ascii="Arial" w:cs="Arial" w:eastAsia="Arial" w:hAnsi="Arial"/>
                <w:sz w:val="16"/>
                <w:szCs w:val="16"/>
                <w:b w:val="1"/>
                <w:bCs w:val="1"/>
                <w:color w:val="auto"/>
                <w:w w:val="87"/>
              </w:rPr>
              <w:t>Loss on</w:t>
            </w:r>
          </w:p>
        </w:tc>
        <w:tc>
          <w:tcPr>
            <w:tcW w:w="80" w:type="dxa"/>
            <w:vAlign w:val="bottom"/>
          </w:tcPr>
          <w:p>
            <w:pPr>
              <w:spacing w:after="0"/>
              <w:rPr>
                <w:sz w:val="13"/>
                <w:szCs w:val="13"/>
                <w:color w:val="auto"/>
              </w:rPr>
            </w:pPr>
          </w:p>
        </w:tc>
        <w:tc>
          <w:tcPr>
            <w:tcW w:w="1000" w:type="dxa"/>
            <w:vAlign w:val="bottom"/>
            <w:vMerge w:val="restart"/>
          </w:tcPr>
          <w:p>
            <w:pPr>
              <w:jc w:val="right"/>
              <w:ind w:right="22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4860" w:type="dxa"/>
            <w:vAlign w:val="bottom"/>
            <w:tcBorders>
              <w:bottom w:val="single" w:sz="8" w:color="E6E6E6"/>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Adjustments</w:t>
            </w:r>
          </w:p>
        </w:tc>
        <w:tc>
          <w:tcPr>
            <w:tcW w:w="8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45"/>
              <w:spacing w:after="0"/>
              <w:rPr>
                <w:sz w:val="20"/>
                <w:szCs w:val="20"/>
                <w:color w:val="auto"/>
              </w:rPr>
            </w:pPr>
            <w:r>
              <w:rPr>
                <w:rFonts w:ascii="Arial" w:cs="Arial" w:eastAsia="Arial" w:hAnsi="Arial"/>
                <w:sz w:val="16"/>
                <w:szCs w:val="16"/>
                <w:b w:val="1"/>
                <w:bCs w:val="1"/>
                <w:color w:val="auto"/>
                <w:w w:val="86"/>
              </w:rPr>
              <w:t>Securities</w:t>
            </w:r>
          </w:p>
        </w:tc>
        <w:tc>
          <w:tcPr>
            <w:tcW w:w="8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85"/>
              <w:spacing w:after="0"/>
              <w:rPr>
                <w:sz w:val="20"/>
                <w:szCs w:val="20"/>
                <w:color w:val="auto"/>
              </w:rPr>
            </w:pPr>
            <w:r>
              <w:rPr>
                <w:rFonts w:ascii="Arial" w:cs="Arial" w:eastAsia="Arial" w:hAnsi="Arial"/>
                <w:sz w:val="16"/>
                <w:szCs w:val="16"/>
                <w:b w:val="1"/>
                <w:bCs w:val="1"/>
                <w:color w:val="auto"/>
                <w:w w:val="86"/>
              </w:rPr>
              <w:t>Hedges</w:t>
            </w: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w w:val="86"/>
              </w:rPr>
              <w:t>Pension</w:t>
            </w:r>
          </w:p>
        </w:tc>
        <w:tc>
          <w:tcPr>
            <w:tcW w:w="80" w:type="dxa"/>
            <w:vAlign w:val="bottom"/>
            <w:tcBorders>
              <w:bottom w:val="single" w:sz="8" w:color="E6E6E6"/>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86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Balance at January 1, 2022</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3"/>
              </w:rPr>
              <w:t>$ (177,824)</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(150)</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(17,383)</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(655)</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 (196,012)</w:t>
            </w:r>
          </w:p>
        </w:tc>
        <w:tc>
          <w:tcPr>
            <w:tcW w:w="0" w:type="dxa"/>
            <w:vAlign w:val="bottom"/>
          </w:tcPr>
          <w:p>
            <w:pPr>
              <w:spacing w:after="0"/>
              <w:rPr>
                <w:sz w:val="1"/>
                <w:szCs w:val="1"/>
                <w:color w:val="auto"/>
              </w:rPr>
            </w:pPr>
          </w:p>
        </w:tc>
      </w:tr>
      <w:tr>
        <w:trPr>
          <w:trHeight w:val="275"/>
        </w:trPr>
        <w:tc>
          <w:tcPr>
            <w:tcW w:w="4860" w:type="dxa"/>
            <w:vAlign w:val="bottom"/>
          </w:tcPr>
          <w:p>
            <w:pPr>
              <w:ind w:left="60"/>
              <w:spacing w:after="0"/>
              <w:rPr>
                <w:sz w:val="20"/>
                <w:szCs w:val="20"/>
                <w:color w:val="auto"/>
              </w:rPr>
            </w:pPr>
            <w:r>
              <w:rPr>
                <w:rFonts w:ascii="Arial" w:cs="Arial" w:eastAsia="Arial" w:hAnsi="Arial"/>
                <w:sz w:val="20"/>
                <w:szCs w:val="20"/>
                <w:color w:val="auto"/>
                <w:w w:val="91"/>
              </w:rPr>
              <w:t>Other comprehensive (loss) income before reclassifications</w:t>
            </w:r>
          </w:p>
        </w:tc>
        <w:tc>
          <w:tcPr>
            <w:tcW w:w="1000" w:type="dxa"/>
            <w:vAlign w:val="bottom"/>
          </w:tcPr>
          <w:p>
            <w:pPr>
              <w:jc w:val="right"/>
              <w:spacing w:after="0"/>
              <w:rPr>
                <w:sz w:val="20"/>
                <w:szCs w:val="20"/>
                <w:color w:val="auto"/>
              </w:rPr>
            </w:pPr>
            <w:r>
              <w:rPr>
                <w:rFonts w:ascii="Arial" w:cs="Arial" w:eastAsia="Arial" w:hAnsi="Arial"/>
                <w:sz w:val="20"/>
                <w:szCs w:val="20"/>
                <w:color w:val="auto"/>
              </w:rPr>
              <w:t>(31,515)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(523)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78,711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415</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47,088</w:t>
            </w:r>
          </w:p>
        </w:tc>
        <w:tc>
          <w:tcPr>
            <w:tcW w:w="0" w:type="dxa"/>
            <w:vAlign w:val="bottom"/>
          </w:tcPr>
          <w:p>
            <w:pPr>
              <w:spacing w:after="0"/>
              <w:rPr>
                <w:sz w:val="1"/>
                <w:szCs w:val="1"/>
                <w:color w:val="auto"/>
              </w:rPr>
            </w:pPr>
          </w:p>
        </w:tc>
      </w:tr>
      <w:tr>
        <w:trPr>
          <w:trHeight w:val="195"/>
        </w:trPr>
        <w:tc>
          <w:tcPr>
            <w:tcW w:w="4860" w:type="dxa"/>
            <w:vAlign w:val="bottom"/>
            <w:shd w:val="clear" w:color="auto" w:fill="E6E6E6"/>
          </w:tcPr>
          <w:p>
            <w:pPr>
              <w:ind w:left="60"/>
              <w:spacing w:after="0" w:line="195" w:lineRule="exact"/>
              <w:rPr>
                <w:sz w:val="20"/>
                <w:szCs w:val="20"/>
                <w:color w:val="auto"/>
              </w:rPr>
            </w:pPr>
            <w:r>
              <w:rPr>
                <w:rFonts w:ascii="Arial" w:cs="Arial" w:eastAsia="Arial" w:hAnsi="Arial"/>
                <w:sz w:val="20"/>
                <w:szCs w:val="20"/>
                <w:color w:val="auto"/>
              </w:rPr>
              <w:t>Amounts reclassified out of accumulated other</w:t>
            </w: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(683)</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(683)</w:t>
            </w:r>
          </w:p>
        </w:tc>
        <w:tc>
          <w:tcPr>
            <w:tcW w:w="0" w:type="dxa"/>
            <w:vAlign w:val="bottom"/>
          </w:tcPr>
          <w:p>
            <w:pPr>
              <w:spacing w:after="0"/>
              <w:rPr>
                <w:sz w:val="1"/>
                <w:szCs w:val="1"/>
                <w:color w:val="auto"/>
              </w:rPr>
            </w:pPr>
          </w:p>
        </w:tc>
      </w:tr>
      <w:tr>
        <w:trPr>
          <w:trHeight w:val="269"/>
        </w:trPr>
        <w:tc>
          <w:tcPr>
            <w:tcW w:w="4860" w:type="dxa"/>
            <w:vAlign w:val="bottom"/>
            <w:shd w:val="clear" w:color="auto" w:fill="E6E6E6"/>
          </w:tcPr>
          <w:p>
            <w:pPr>
              <w:ind w:left="60"/>
              <w:spacing w:after="0"/>
              <w:rPr>
                <w:sz w:val="20"/>
                <w:szCs w:val="20"/>
                <w:color w:val="auto"/>
              </w:rPr>
            </w:pPr>
            <w:r>
              <w:rPr>
                <w:rFonts w:ascii="Arial" w:cs="Arial" w:eastAsia="Arial" w:hAnsi="Arial"/>
                <w:sz w:val="20"/>
                <w:szCs w:val="20"/>
                <w:color w:val="auto"/>
              </w:rPr>
              <w:t>comprehensive loss</w:t>
            </w:r>
          </w:p>
        </w:tc>
        <w:tc>
          <w:tcPr>
            <w:tcW w:w="10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8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8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780" w:type="dxa"/>
            <w:vAlign w:val="bottom"/>
            <w:vMerge w:val="continue"/>
            <w:shd w:val="clear" w:color="auto" w:fill="E6E6E6"/>
          </w:tcPr>
          <w:p>
            <w:pPr>
              <w:spacing w:after="0"/>
              <w:rPr>
                <w:sz w:val="23"/>
                <w:szCs w:val="23"/>
                <w:color w:val="auto"/>
              </w:rPr>
            </w:pPr>
          </w:p>
        </w:tc>
        <w:tc>
          <w:tcPr>
            <w:tcW w:w="1080" w:type="dxa"/>
            <w:vAlign w:val="bottom"/>
            <w:gridSpan w:val="2"/>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8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Tax benefit (provision)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w:t>
            </w:r>
          </w:p>
        </w:tc>
        <w:tc>
          <w:tcPr>
            <w:tcW w:w="8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(17,587)</w:t>
            </w:r>
          </w:p>
        </w:tc>
        <w:tc>
          <w:tcPr>
            <w:tcW w:w="8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w:t>
            </w:r>
          </w:p>
        </w:tc>
        <w:tc>
          <w:tcPr>
            <w:tcW w:w="80" w:type="dxa"/>
            <w:vAlign w:val="bottom"/>
            <w:tcBorders>
              <w:bottom w:val="single" w:sz="8" w:color="E6E6E6"/>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(17,574)</w:t>
            </w:r>
          </w:p>
        </w:tc>
        <w:tc>
          <w:tcPr>
            <w:tcW w:w="0" w:type="dxa"/>
            <w:vAlign w:val="bottom"/>
          </w:tcPr>
          <w:p>
            <w:pPr>
              <w:spacing w:after="0"/>
              <w:rPr>
                <w:sz w:val="1"/>
                <w:szCs w:val="1"/>
                <w:color w:val="auto"/>
              </w:rPr>
            </w:pPr>
          </w:p>
        </w:tc>
      </w:tr>
      <w:tr>
        <w:trPr>
          <w:trHeight w:val="280"/>
        </w:trPr>
        <w:tc>
          <w:tcPr>
            <w:tcW w:w="48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Other comprehensive (loss) income</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(31,515)</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(413)</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60,441</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318</w:t>
            </w:r>
          </w:p>
        </w:tc>
        <w:tc>
          <w:tcPr>
            <w:tcW w:w="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28,831</w:t>
            </w:r>
          </w:p>
        </w:tc>
        <w:tc>
          <w:tcPr>
            <w:tcW w:w="0" w:type="dxa"/>
            <w:vAlign w:val="bottom"/>
          </w:tcPr>
          <w:p>
            <w:pPr>
              <w:spacing w:after="0"/>
              <w:rPr>
                <w:sz w:val="1"/>
                <w:szCs w:val="1"/>
                <w:color w:val="auto"/>
              </w:rPr>
            </w:pPr>
          </w:p>
        </w:tc>
      </w:tr>
      <w:tr>
        <w:trPr>
          <w:trHeight w:val="241"/>
        </w:trPr>
        <w:tc>
          <w:tcPr>
            <w:tcW w:w="4860" w:type="dxa"/>
            <w:vAlign w:val="bottom"/>
            <w:tcBorders>
              <w:bottom w:val="single" w:sz="8" w:color="E6E6E6"/>
            </w:tcBorders>
          </w:tcPr>
          <w:p>
            <w:pPr>
              <w:ind w:left="60"/>
              <w:spacing w:after="0"/>
              <w:rPr>
                <w:sz w:val="20"/>
                <w:szCs w:val="20"/>
                <w:color w:val="auto"/>
              </w:rPr>
            </w:pPr>
            <w:r>
              <w:rPr>
                <w:rFonts w:ascii="Arial" w:cs="Arial" w:eastAsia="Arial" w:hAnsi="Arial"/>
                <w:sz w:val="20"/>
                <w:szCs w:val="20"/>
                <w:b w:val="1"/>
                <w:bCs w:val="1"/>
                <w:color w:val="auto"/>
              </w:rPr>
              <w:t>Balance at December 31, 2022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(209,339)</w:t>
            </w:r>
          </w:p>
        </w:tc>
        <w:tc>
          <w:tcPr>
            <w:tcW w:w="8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(563)</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43,058</w:t>
            </w:r>
          </w:p>
        </w:tc>
        <w:tc>
          <w:tcPr>
            <w:tcW w:w="8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(337)</w:t>
            </w:r>
          </w:p>
        </w:tc>
        <w:tc>
          <w:tcPr>
            <w:tcW w:w="80" w:type="dxa"/>
            <w:vAlign w:val="bottom"/>
            <w:tcBorders>
              <w:bottom w:val="single" w:sz="8" w:color="E6E6E6"/>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(167,181)</w:t>
            </w:r>
          </w:p>
        </w:tc>
        <w:tc>
          <w:tcPr>
            <w:tcW w:w="0" w:type="dxa"/>
            <w:vAlign w:val="bottom"/>
          </w:tcPr>
          <w:p>
            <w:pPr>
              <w:spacing w:after="0"/>
              <w:rPr>
                <w:sz w:val="1"/>
                <w:szCs w:val="1"/>
                <w:color w:val="auto"/>
              </w:rPr>
            </w:pPr>
          </w:p>
        </w:tc>
      </w:tr>
      <w:tr>
        <w:trPr>
          <w:trHeight w:val="271"/>
        </w:trPr>
        <w:tc>
          <w:tcPr>
            <w:tcW w:w="4860" w:type="dxa"/>
            <w:vAlign w:val="bottom"/>
            <w:shd w:val="clear" w:color="auto" w:fill="E6E6E6"/>
          </w:tcPr>
          <w:p>
            <w:pPr>
              <w:ind w:left="60"/>
              <w:spacing w:after="0"/>
              <w:rPr>
                <w:sz w:val="20"/>
                <w:szCs w:val="20"/>
                <w:color w:val="auto"/>
              </w:rPr>
            </w:pPr>
            <w:r>
              <w:rPr>
                <w:rFonts w:ascii="Arial" w:cs="Arial" w:eastAsia="Arial" w:hAnsi="Arial"/>
                <w:sz w:val="20"/>
                <w:szCs w:val="20"/>
                <w:color w:val="auto"/>
                <w:w w:val="91"/>
              </w:rPr>
              <w:t>Other comprehensive income (loss) before reclassifications</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9,000</w:t>
            </w:r>
          </w:p>
        </w:tc>
        <w:tc>
          <w:tcPr>
            <w:tcW w:w="8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708</w:t>
            </w:r>
          </w:p>
        </w:tc>
        <w:tc>
          <w:tcPr>
            <w:tcW w:w="8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5,094</w:t>
            </w: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(741)</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14,061</w:t>
            </w:r>
          </w:p>
        </w:tc>
        <w:tc>
          <w:tcPr>
            <w:tcW w:w="0" w:type="dxa"/>
            <w:vAlign w:val="bottom"/>
          </w:tcPr>
          <w:p>
            <w:pPr>
              <w:spacing w:after="0"/>
              <w:rPr>
                <w:sz w:val="1"/>
                <w:szCs w:val="1"/>
                <w:color w:val="auto"/>
              </w:rPr>
            </w:pPr>
          </w:p>
        </w:tc>
      </w:tr>
      <w:tr>
        <w:trPr>
          <w:trHeight w:val="189"/>
        </w:trPr>
        <w:tc>
          <w:tcPr>
            <w:tcW w:w="4860" w:type="dxa"/>
            <w:vAlign w:val="bottom"/>
          </w:tcPr>
          <w:p>
            <w:pPr>
              <w:ind w:left="60"/>
              <w:spacing w:after="0" w:line="189" w:lineRule="exact"/>
              <w:rPr>
                <w:sz w:val="20"/>
                <w:szCs w:val="20"/>
                <w:color w:val="auto"/>
              </w:rPr>
            </w:pPr>
            <w:r>
              <w:rPr>
                <w:rFonts w:ascii="Arial" w:cs="Arial" w:eastAsia="Arial" w:hAnsi="Arial"/>
                <w:sz w:val="20"/>
                <w:szCs w:val="20"/>
                <w:color w:val="auto"/>
              </w:rPr>
              <w:t>Amounts reclassified out of accumulated other</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(30,273)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vMerge w:val="restart"/>
          </w:tcPr>
          <w:p>
            <w:pPr>
              <w:jc w:val="right"/>
              <w:spacing w:after="0"/>
              <w:rPr>
                <w:sz w:val="20"/>
                <w:szCs w:val="20"/>
                <w:color w:val="auto"/>
              </w:rPr>
            </w:pPr>
            <w:r>
              <w:rPr>
                <w:rFonts w:ascii="Arial" w:cs="Arial" w:eastAsia="Arial" w:hAnsi="Arial"/>
                <w:sz w:val="20"/>
                <w:szCs w:val="20"/>
                <w:color w:val="auto"/>
              </w:rPr>
              <w:t>(30,273)</w:t>
            </w:r>
          </w:p>
        </w:tc>
        <w:tc>
          <w:tcPr>
            <w:tcW w:w="0" w:type="dxa"/>
            <w:vAlign w:val="bottom"/>
          </w:tcPr>
          <w:p>
            <w:pPr>
              <w:spacing w:after="0"/>
              <w:rPr>
                <w:sz w:val="1"/>
                <w:szCs w:val="1"/>
                <w:color w:val="auto"/>
              </w:rPr>
            </w:pPr>
          </w:p>
        </w:tc>
      </w:tr>
      <w:tr>
        <w:trPr>
          <w:trHeight w:val="264"/>
        </w:trPr>
        <w:tc>
          <w:tcPr>
            <w:tcW w:w="4860" w:type="dxa"/>
            <w:vAlign w:val="bottom"/>
          </w:tcPr>
          <w:p>
            <w:pPr>
              <w:ind w:left="60"/>
              <w:spacing w:after="0"/>
              <w:rPr>
                <w:sz w:val="20"/>
                <w:szCs w:val="20"/>
                <w:color w:val="auto"/>
              </w:rPr>
            </w:pPr>
            <w:r>
              <w:rPr>
                <w:rFonts w:ascii="Arial" w:cs="Arial" w:eastAsia="Arial" w:hAnsi="Arial"/>
                <w:sz w:val="20"/>
                <w:szCs w:val="20"/>
                <w:color w:val="auto"/>
              </w:rPr>
              <w:t>comprehensive loss</w:t>
            </w: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48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Tax (provision) benefit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(149)</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8,012</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191</w:t>
            </w:r>
          </w:p>
        </w:tc>
        <w:tc>
          <w:tcPr>
            <w:tcW w:w="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8,054</w:t>
            </w:r>
          </w:p>
        </w:tc>
        <w:tc>
          <w:tcPr>
            <w:tcW w:w="0" w:type="dxa"/>
            <w:vAlign w:val="bottom"/>
          </w:tcPr>
          <w:p>
            <w:pPr>
              <w:spacing w:after="0"/>
              <w:rPr>
                <w:sz w:val="1"/>
                <w:szCs w:val="1"/>
                <w:color w:val="auto"/>
              </w:rPr>
            </w:pPr>
          </w:p>
        </w:tc>
      </w:tr>
      <w:tr>
        <w:trPr>
          <w:trHeight w:val="241"/>
        </w:trPr>
        <w:tc>
          <w:tcPr>
            <w:tcW w:w="48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Other comprehensive income (loss)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9,000</w:t>
            </w:r>
          </w:p>
        </w:tc>
        <w:tc>
          <w:tcPr>
            <w:tcW w:w="8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559</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(17,167)</w:t>
            </w:r>
          </w:p>
        </w:tc>
        <w:tc>
          <w:tcPr>
            <w:tcW w:w="8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w:t>
            </w:r>
          </w:p>
        </w:tc>
        <w:tc>
          <w:tcPr>
            <w:tcW w:w="80" w:type="dxa"/>
            <w:vAlign w:val="bottom"/>
            <w:tcBorders>
              <w:bottom w:val="single" w:sz="8" w:color="E6E6E6"/>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(8,158)</w:t>
            </w:r>
          </w:p>
        </w:tc>
        <w:tc>
          <w:tcPr>
            <w:tcW w:w="0" w:type="dxa"/>
            <w:vAlign w:val="bottom"/>
          </w:tcPr>
          <w:p>
            <w:pPr>
              <w:spacing w:after="0"/>
              <w:rPr>
                <w:sz w:val="1"/>
                <w:szCs w:val="1"/>
                <w:color w:val="auto"/>
              </w:rPr>
            </w:pPr>
          </w:p>
        </w:tc>
      </w:tr>
      <w:tr>
        <w:trPr>
          <w:trHeight w:val="280"/>
        </w:trPr>
        <w:tc>
          <w:tcPr>
            <w:tcW w:w="48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rPr>
              <w:t>Balance at December 31, 2023</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(200,339)</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25,891</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(887)</w:t>
            </w:r>
          </w:p>
        </w:tc>
        <w:tc>
          <w:tcPr>
            <w:tcW w:w="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(175,339)</w:t>
            </w:r>
          </w:p>
        </w:tc>
        <w:tc>
          <w:tcPr>
            <w:tcW w:w="0" w:type="dxa"/>
            <w:vAlign w:val="bottom"/>
          </w:tcPr>
          <w:p>
            <w:pPr>
              <w:spacing w:after="0"/>
              <w:rPr>
                <w:sz w:val="1"/>
                <w:szCs w:val="1"/>
                <w:color w:val="auto"/>
              </w:rPr>
            </w:pPr>
          </w:p>
        </w:tc>
      </w:tr>
      <w:tr>
        <w:trPr>
          <w:trHeight w:val="246"/>
        </w:trPr>
        <w:tc>
          <w:tcPr>
            <w:tcW w:w="4860" w:type="dxa"/>
            <w:vAlign w:val="bottom"/>
          </w:tcPr>
          <w:p>
            <w:pPr>
              <w:ind w:left="60"/>
              <w:spacing w:after="0"/>
              <w:rPr>
                <w:sz w:val="20"/>
                <w:szCs w:val="20"/>
                <w:color w:val="auto"/>
              </w:rPr>
            </w:pPr>
            <w:r>
              <w:rPr>
                <w:rFonts w:ascii="Arial" w:cs="Arial" w:eastAsia="Arial" w:hAnsi="Arial"/>
                <w:sz w:val="20"/>
                <w:szCs w:val="20"/>
                <w:color w:val="auto"/>
                <w:w w:val="91"/>
              </w:rPr>
              <w:t>Other comprehensive (loss) income before reclassifications</w:t>
            </w:r>
          </w:p>
        </w:tc>
        <w:tc>
          <w:tcPr>
            <w:tcW w:w="1000" w:type="dxa"/>
            <w:vAlign w:val="bottom"/>
          </w:tcPr>
          <w:p>
            <w:pPr>
              <w:jc w:val="right"/>
              <w:spacing w:after="0"/>
              <w:rPr>
                <w:sz w:val="20"/>
                <w:szCs w:val="20"/>
                <w:color w:val="auto"/>
              </w:rPr>
            </w:pPr>
            <w:r>
              <w:rPr>
                <w:rFonts w:ascii="Arial" w:cs="Arial" w:eastAsia="Arial" w:hAnsi="Arial"/>
                <w:sz w:val="20"/>
                <w:szCs w:val="20"/>
                <w:color w:val="auto"/>
              </w:rPr>
              <w:t>(36,363)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16,515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339</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(19,462)</w:t>
            </w:r>
          </w:p>
        </w:tc>
        <w:tc>
          <w:tcPr>
            <w:tcW w:w="0" w:type="dxa"/>
            <w:vAlign w:val="bottom"/>
          </w:tcPr>
          <w:p>
            <w:pPr>
              <w:spacing w:after="0"/>
              <w:rPr>
                <w:sz w:val="1"/>
                <w:szCs w:val="1"/>
                <w:color w:val="auto"/>
              </w:rPr>
            </w:pPr>
          </w:p>
        </w:tc>
      </w:tr>
      <w:tr>
        <w:trPr>
          <w:trHeight w:val="195"/>
        </w:trPr>
        <w:tc>
          <w:tcPr>
            <w:tcW w:w="4860" w:type="dxa"/>
            <w:vAlign w:val="bottom"/>
            <w:shd w:val="clear" w:color="auto" w:fill="E6E6E6"/>
          </w:tcPr>
          <w:p>
            <w:pPr>
              <w:ind w:left="60"/>
              <w:spacing w:after="0" w:line="195" w:lineRule="exact"/>
              <w:rPr>
                <w:sz w:val="20"/>
                <w:szCs w:val="20"/>
                <w:color w:val="auto"/>
              </w:rPr>
            </w:pPr>
            <w:r>
              <w:rPr>
                <w:rFonts w:ascii="Arial" w:cs="Arial" w:eastAsia="Arial" w:hAnsi="Arial"/>
                <w:sz w:val="20"/>
                <w:szCs w:val="20"/>
                <w:color w:val="auto"/>
              </w:rPr>
              <w:t>Amounts reclassified out of accumulated other</w:t>
            </w: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(19,582)</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(19,582)</w:t>
            </w:r>
          </w:p>
        </w:tc>
        <w:tc>
          <w:tcPr>
            <w:tcW w:w="0" w:type="dxa"/>
            <w:vAlign w:val="bottom"/>
          </w:tcPr>
          <w:p>
            <w:pPr>
              <w:spacing w:after="0"/>
              <w:rPr>
                <w:sz w:val="1"/>
                <w:szCs w:val="1"/>
                <w:color w:val="auto"/>
              </w:rPr>
            </w:pPr>
          </w:p>
        </w:tc>
      </w:tr>
      <w:tr>
        <w:trPr>
          <w:trHeight w:val="269"/>
        </w:trPr>
        <w:tc>
          <w:tcPr>
            <w:tcW w:w="4860" w:type="dxa"/>
            <w:vAlign w:val="bottom"/>
            <w:shd w:val="clear" w:color="auto" w:fill="E6E6E6"/>
          </w:tcPr>
          <w:p>
            <w:pPr>
              <w:ind w:left="60"/>
              <w:spacing w:after="0"/>
              <w:rPr>
                <w:sz w:val="20"/>
                <w:szCs w:val="20"/>
                <w:color w:val="auto"/>
              </w:rPr>
            </w:pPr>
            <w:r>
              <w:rPr>
                <w:rFonts w:ascii="Arial" w:cs="Arial" w:eastAsia="Arial" w:hAnsi="Arial"/>
                <w:sz w:val="20"/>
                <w:szCs w:val="20"/>
                <w:color w:val="auto"/>
              </w:rPr>
              <w:t>comprehensive loss</w:t>
            </w:r>
          </w:p>
        </w:tc>
        <w:tc>
          <w:tcPr>
            <w:tcW w:w="10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8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8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780" w:type="dxa"/>
            <w:vAlign w:val="bottom"/>
            <w:vMerge w:val="continue"/>
            <w:shd w:val="clear" w:color="auto" w:fill="E6E6E6"/>
          </w:tcPr>
          <w:p>
            <w:pPr>
              <w:spacing w:after="0"/>
              <w:rPr>
                <w:sz w:val="23"/>
                <w:szCs w:val="23"/>
                <w:color w:val="auto"/>
              </w:rPr>
            </w:pPr>
          </w:p>
        </w:tc>
        <w:tc>
          <w:tcPr>
            <w:tcW w:w="1080" w:type="dxa"/>
            <w:vAlign w:val="bottom"/>
            <w:gridSpan w:val="2"/>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8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Tax (provision) benefit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8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828</w:t>
            </w:r>
          </w:p>
        </w:tc>
        <w:tc>
          <w:tcPr>
            <w:tcW w:w="8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w:t>
            </w:r>
          </w:p>
        </w:tc>
        <w:tc>
          <w:tcPr>
            <w:tcW w:w="80" w:type="dxa"/>
            <w:vAlign w:val="bottom"/>
            <w:tcBorders>
              <w:bottom w:val="single" w:sz="8" w:color="E6E6E6"/>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748</w:t>
            </w:r>
          </w:p>
        </w:tc>
        <w:tc>
          <w:tcPr>
            <w:tcW w:w="0" w:type="dxa"/>
            <w:vAlign w:val="bottom"/>
          </w:tcPr>
          <w:p>
            <w:pPr>
              <w:spacing w:after="0"/>
              <w:rPr>
                <w:sz w:val="1"/>
                <w:szCs w:val="1"/>
                <w:color w:val="auto"/>
              </w:rPr>
            </w:pPr>
          </w:p>
        </w:tc>
      </w:tr>
      <w:tr>
        <w:trPr>
          <w:trHeight w:val="280"/>
        </w:trPr>
        <w:tc>
          <w:tcPr>
            <w:tcW w:w="48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Other comprehensive (loss) income</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(36,363)</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(2,239)</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269</w:t>
            </w:r>
          </w:p>
        </w:tc>
        <w:tc>
          <w:tcPr>
            <w:tcW w:w="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(38,296)</w:t>
            </w:r>
          </w:p>
        </w:tc>
        <w:tc>
          <w:tcPr>
            <w:tcW w:w="0" w:type="dxa"/>
            <w:vAlign w:val="bottom"/>
          </w:tcPr>
          <w:p>
            <w:pPr>
              <w:spacing w:after="0"/>
              <w:rPr>
                <w:sz w:val="1"/>
                <w:szCs w:val="1"/>
                <w:color w:val="auto"/>
              </w:rPr>
            </w:pPr>
          </w:p>
        </w:tc>
      </w:tr>
      <w:tr>
        <w:trPr>
          <w:trHeight w:val="222"/>
        </w:trPr>
        <w:tc>
          <w:tcPr>
            <w:tcW w:w="4860" w:type="dxa"/>
            <w:vAlign w:val="bottom"/>
          </w:tcPr>
          <w:p>
            <w:pPr>
              <w:ind w:left="60"/>
              <w:spacing w:after="0" w:line="222" w:lineRule="exact"/>
              <w:rPr>
                <w:sz w:val="20"/>
                <w:szCs w:val="20"/>
                <w:color w:val="auto"/>
              </w:rPr>
            </w:pPr>
            <w:r>
              <w:rPr>
                <w:rFonts w:ascii="Arial" w:cs="Arial" w:eastAsia="Arial" w:hAnsi="Arial"/>
                <w:sz w:val="20"/>
                <w:szCs w:val="20"/>
                <w:b w:val="1"/>
                <w:bCs w:val="1"/>
                <w:color w:val="auto"/>
              </w:rPr>
              <w:t>Balance at December 31, 2024</w:t>
            </w:r>
          </w:p>
        </w:tc>
        <w:tc>
          <w:tcPr>
            <w:tcW w:w="1000" w:type="dxa"/>
            <w:vAlign w:val="bottom"/>
          </w:tcPr>
          <w:p>
            <w:pPr>
              <w:jc w:val="right"/>
              <w:spacing w:after="0" w:line="222" w:lineRule="exact"/>
              <w:rPr>
                <w:sz w:val="20"/>
                <w:szCs w:val="20"/>
                <w:color w:val="auto"/>
              </w:rPr>
            </w:pPr>
            <w:r>
              <w:rPr>
                <w:rFonts w:ascii="Arial" w:cs="Arial" w:eastAsia="Arial" w:hAnsi="Arial"/>
                <w:sz w:val="20"/>
                <w:szCs w:val="20"/>
                <w:color w:val="auto"/>
                <w:w w:val="93"/>
              </w:rPr>
              <w:t>$ (236,702)</w:t>
            </w:r>
          </w:p>
        </w:tc>
        <w:tc>
          <w:tcPr>
            <w:tcW w:w="2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33</w:t>
            </w:r>
          </w:p>
        </w:tc>
        <w:tc>
          <w:tcPr>
            <w:tcW w:w="2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23,652</w:t>
            </w:r>
          </w:p>
        </w:tc>
        <w:tc>
          <w:tcPr>
            <w:tcW w:w="2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w:t>
            </w:r>
          </w:p>
        </w:tc>
        <w:tc>
          <w:tcPr>
            <w:tcW w:w="780" w:type="dxa"/>
            <w:vAlign w:val="bottom"/>
          </w:tcPr>
          <w:p>
            <w:pPr>
              <w:jc w:val="right"/>
              <w:spacing w:after="0" w:line="222" w:lineRule="exact"/>
              <w:rPr>
                <w:sz w:val="20"/>
                <w:szCs w:val="20"/>
                <w:color w:val="auto"/>
              </w:rPr>
            </w:pPr>
            <w:r>
              <w:rPr>
                <w:rFonts w:ascii="Arial" w:cs="Arial" w:eastAsia="Arial" w:hAnsi="Arial"/>
                <w:sz w:val="20"/>
                <w:szCs w:val="20"/>
                <w:color w:val="auto"/>
              </w:rPr>
              <w:t>(618)</w:t>
            </w:r>
          </w:p>
        </w:tc>
        <w:tc>
          <w:tcPr>
            <w:tcW w:w="10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 (213,635)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-43180</wp:posOffset>
            </wp:positionV>
            <wp:extent cx="3355975" cy="501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0">
                      <a:extLst>
                        <a:ext uri="{28A0092B-C50C-407E-A947-70E740481C1C}"/>
                      </a:extLst>
                    </a:blip>
                    <a:srcRect/>
                    <a:stretch>
                      <a:fillRect/>
                    </a:stretch>
                  </pic:blipFill>
                  <pic:spPr bwMode="auto">
                    <a:xfrm>
                      <a:off x="0" y="0"/>
                      <a:ext cx="3355975" cy="50165"/>
                    </a:xfrm>
                    <a:prstGeom prst="rect">
                      <a:avLst/>
                    </a:prstGeom>
                    <a:noFill/>
                  </pic:spPr>
                </pic:pic>
              </a:graphicData>
            </a:graphic>
          </wp:anchor>
        </w:drawing>
      </w:r>
    </w:p>
    <w:p>
      <w:pPr>
        <w:spacing w:after="0" w:line="145" w:lineRule="exact"/>
        <w:rPr>
          <w:sz w:val="20"/>
          <w:szCs w:val="20"/>
          <w:color w:val="auto"/>
        </w:rPr>
      </w:pPr>
    </w:p>
    <w:p>
      <w:pPr>
        <w:ind w:right="280" w:firstLine="709"/>
        <w:spacing w:after="0" w:line="333" w:lineRule="auto"/>
        <w:rPr>
          <w:sz w:val="20"/>
          <w:szCs w:val="20"/>
          <w:color w:val="auto"/>
        </w:rPr>
      </w:pPr>
      <w:r>
        <w:rPr>
          <w:rFonts w:ascii="Arial" w:cs="Arial" w:eastAsia="Arial" w:hAnsi="Arial"/>
          <w:sz w:val="18"/>
          <w:szCs w:val="18"/>
          <w:color w:val="auto"/>
        </w:rPr>
        <w:t>The amounts realized in the consolidated statements of operations during the years ended December 31, 2024, 2023 and 2022 which were reclassified out of accumulated other comprehensive loss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Borders>
              <w:bottom w:val="single" w:sz="8" w:color="auto"/>
            </w:tcBorders>
            <w:gridSpan w:val="5"/>
          </w:tcPr>
          <w:p>
            <w:pPr>
              <w:jc w:val="right"/>
              <w:ind w:right="191"/>
              <w:spacing w:after="0"/>
              <w:rPr>
                <w:sz w:val="20"/>
                <w:szCs w:val="20"/>
                <w:color w:val="auto"/>
              </w:rPr>
            </w:pPr>
            <w:r>
              <w:rPr>
                <w:rFonts w:ascii="Arial" w:cs="Arial" w:eastAsia="Arial" w:hAnsi="Arial"/>
                <w:sz w:val="16"/>
                <w:szCs w:val="16"/>
                <w:b w:val="1"/>
                <w:bCs w:val="1"/>
                <w:color w:val="auto"/>
                <w:w w:val="99"/>
              </w:rPr>
              <w:t>For the years ended December 31,</w:t>
            </w:r>
          </w:p>
        </w:tc>
        <w:tc>
          <w:tcPr>
            <w:tcW w:w="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40" w:type="dxa"/>
            <w:vAlign w:val="bottom"/>
            <w:tcBorders>
              <w:bottom w:val="single" w:sz="8" w:color="auto"/>
            </w:tcBorders>
          </w:tcPr>
          <w:p>
            <w:pPr>
              <w:jc w:val="right"/>
              <w:ind w:right="488"/>
              <w:spacing w:after="0"/>
              <w:rPr>
                <w:sz w:val="20"/>
                <w:szCs w:val="20"/>
                <w:color w:val="auto"/>
              </w:rPr>
            </w:pPr>
            <w:r>
              <w:rPr>
                <w:rFonts w:ascii="Arial" w:cs="Arial" w:eastAsia="Arial" w:hAnsi="Arial"/>
                <w:sz w:val="16"/>
                <w:szCs w:val="16"/>
                <w:b w:val="1"/>
                <w:bCs w:val="1"/>
                <w:color w:val="auto"/>
              </w:rPr>
              <w:t>Other Comprehensive Loss Component</w:t>
            </w:r>
          </w:p>
        </w:tc>
        <w:tc>
          <w:tcPr>
            <w:tcW w:w="60" w:type="dxa"/>
            <w:vAlign w:val="bottom"/>
            <w:tcBorders>
              <w:bottom w:val="single" w:sz="8" w:color="E6E6E6"/>
            </w:tcBorders>
          </w:tcPr>
          <w:p>
            <w:pPr>
              <w:spacing w:after="0"/>
              <w:rPr>
                <w:sz w:val="20"/>
                <w:szCs w:val="20"/>
                <w:color w:val="auto"/>
              </w:rPr>
            </w:pPr>
          </w:p>
        </w:tc>
        <w:tc>
          <w:tcPr>
            <w:tcW w:w="96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E6E6E6"/>
            </w:tcBorders>
          </w:tcPr>
          <w:p>
            <w:pPr>
              <w:spacing w:after="0"/>
              <w:rPr>
                <w:sz w:val="20"/>
                <w:szCs w:val="20"/>
                <w:color w:val="auto"/>
              </w:rPr>
            </w:pPr>
          </w:p>
        </w:tc>
        <w:tc>
          <w:tcPr>
            <w:tcW w:w="3260" w:type="dxa"/>
            <w:vAlign w:val="bottom"/>
            <w:tcBorders>
              <w:bottom w:val="single" w:sz="8" w:color="auto"/>
            </w:tcBorders>
          </w:tcPr>
          <w:p>
            <w:pPr>
              <w:ind w:left="1340"/>
              <w:spacing w:after="0"/>
              <w:rPr>
                <w:sz w:val="20"/>
                <w:szCs w:val="20"/>
                <w:color w:val="auto"/>
              </w:rPr>
            </w:pPr>
            <w:r>
              <w:rPr>
                <w:rFonts w:ascii="Arial" w:cs="Arial" w:eastAsia="Arial" w:hAnsi="Arial"/>
                <w:sz w:val="16"/>
                <w:szCs w:val="16"/>
                <w:b w:val="1"/>
                <w:bCs w:val="1"/>
                <w:color w:val="auto"/>
              </w:rPr>
              <w:t>Location</w:t>
            </w:r>
          </w:p>
        </w:tc>
        <w:tc>
          <w:tcPr>
            <w:tcW w:w="0" w:type="dxa"/>
            <w:vAlign w:val="bottom"/>
          </w:tcPr>
          <w:p>
            <w:pPr>
              <w:spacing w:after="0"/>
              <w:rPr>
                <w:sz w:val="1"/>
                <w:szCs w:val="1"/>
                <w:color w:val="auto"/>
              </w:rPr>
            </w:pPr>
          </w:p>
        </w:tc>
      </w:tr>
      <w:tr>
        <w:trPr>
          <w:trHeight w:val="209"/>
        </w:trPr>
        <w:tc>
          <w:tcPr>
            <w:tcW w:w="3900" w:type="dxa"/>
            <w:vAlign w:val="bottom"/>
            <w:gridSpan w:val="2"/>
            <w:shd w:val="clear" w:color="auto" w:fill="E6E6E6"/>
          </w:tcPr>
          <w:p>
            <w:pPr>
              <w:jc w:val="right"/>
              <w:ind w:right="640"/>
              <w:spacing w:after="0" w:line="208" w:lineRule="exact"/>
              <w:rPr>
                <w:sz w:val="20"/>
                <w:szCs w:val="20"/>
                <w:color w:val="auto"/>
              </w:rPr>
            </w:pPr>
            <w:r>
              <w:rPr>
                <w:rFonts w:ascii="Arial" w:cs="Arial" w:eastAsia="Arial" w:hAnsi="Arial"/>
                <w:sz w:val="20"/>
                <w:szCs w:val="20"/>
                <w:color w:val="auto"/>
                <w:w w:val="92"/>
              </w:rPr>
              <w:t>Unrealized (Loss) Gain on Fair Value of</w:t>
            </w: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  19,582</w:t>
            </w:r>
          </w:p>
        </w:tc>
        <w:tc>
          <w:tcPr>
            <w:tcW w:w="2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20" w:type="dxa"/>
            <w:vAlign w:val="bottom"/>
            <w:vMerge w:val="restart"/>
            <w:shd w:val="clear" w:color="auto" w:fill="E6E6E6"/>
          </w:tcPr>
          <w:p>
            <w:pPr>
              <w:ind w:left="100"/>
              <w:spacing w:after="0"/>
              <w:rPr>
                <w:sz w:val="20"/>
                <w:szCs w:val="20"/>
                <w:color w:val="auto"/>
              </w:rPr>
            </w:pPr>
            <w:r>
              <w:rPr>
                <w:rFonts w:ascii="Arial" w:cs="Arial" w:eastAsia="Arial" w:hAnsi="Arial"/>
                <w:sz w:val="20"/>
                <w:szCs w:val="20"/>
                <w:color w:val="auto"/>
                <w:w w:val="98"/>
              </w:rPr>
              <w:t>30,273</w:t>
            </w:r>
          </w:p>
        </w:tc>
        <w:tc>
          <w:tcPr>
            <w:tcW w:w="2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683</w:t>
            </w:r>
          </w:p>
        </w:tc>
        <w:tc>
          <w:tcPr>
            <w:tcW w:w="80" w:type="dxa"/>
            <w:vAlign w:val="bottom"/>
            <w:shd w:val="clear" w:color="auto" w:fill="E6E6E6"/>
          </w:tcPr>
          <w:p>
            <w:pPr>
              <w:spacing w:after="0"/>
              <w:rPr>
                <w:sz w:val="18"/>
                <w:szCs w:val="18"/>
                <w:color w:val="auto"/>
              </w:rPr>
            </w:pPr>
          </w:p>
        </w:tc>
        <w:tc>
          <w:tcPr>
            <w:tcW w:w="3260" w:type="dxa"/>
            <w:vAlign w:val="bottom"/>
            <w:vMerge w:val="restart"/>
            <w:shd w:val="clear" w:color="auto" w:fill="E6E6E6"/>
          </w:tcPr>
          <w:p>
            <w:pPr>
              <w:ind w:left="60"/>
              <w:spacing w:after="0"/>
              <w:rPr>
                <w:sz w:val="20"/>
                <w:szCs w:val="20"/>
                <w:color w:val="auto"/>
              </w:rPr>
            </w:pPr>
            <w:r>
              <w:rPr>
                <w:rFonts w:ascii="Arial" w:cs="Arial" w:eastAsia="Arial" w:hAnsi="Arial"/>
                <w:sz w:val="20"/>
                <w:szCs w:val="20"/>
                <w:color w:val="auto"/>
                <w:w w:val="90"/>
              </w:rPr>
              <w:t>Interest expense, net of interest income</w:t>
            </w:r>
          </w:p>
        </w:tc>
        <w:tc>
          <w:tcPr>
            <w:tcW w:w="0" w:type="dxa"/>
            <w:vAlign w:val="bottom"/>
          </w:tcPr>
          <w:p>
            <w:pPr>
              <w:spacing w:after="0"/>
              <w:rPr>
                <w:sz w:val="1"/>
                <w:szCs w:val="1"/>
                <w:color w:val="auto"/>
              </w:rPr>
            </w:pPr>
          </w:p>
        </w:tc>
      </w:tr>
      <w:tr>
        <w:trPr>
          <w:trHeight w:val="269"/>
        </w:trPr>
        <w:tc>
          <w:tcPr>
            <w:tcW w:w="3900" w:type="dxa"/>
            <w:vAlign w:val="bottom"/>
            <w:gridSpan w:val="2"/>
            <w:shd w:val="clear" w:color="auto" w:fill="E6E6E6"/>
          </w:tcPr>
          <w:p>
            <w:pPr>
              <w:ind w:left="60"/>
              <w:spacing w:after="0" w:line="269" w:lineRule="exact"/>
              <w:rPr>
                <w:sz w:val="20"/>
                <w:szCs w:val="20"/>
                <w:color w:val="auto"/>
              </w:rPr>
            </w:pPr>
            <w:r>
              <w:rPr>
                <w:rFonts w:ascii="Arial" w:cs="Arial" w:eastAsia="Arial" w:hAnsi="Arial"/>
                <w:sz w:val="20"/>
                <w:szCs w:val="20"/>
                <w:color w:val="auto"/>
              </w:rPr>
              <w:t xml:space="preserve">Interest Rate Hedges </w:t>
            </w:r>
            <w:r>
              <w:rPr>
                <w:rFonts w:ascii="Arial" w:cs="Arial" w:eastAsia="Arial" w:hAnsi="Arial"/>
                <w:sz w:val="25"/>
                <w:szCs w:val="25"/>
                <w:color w:val="auto"/>
                <w:vertAlign w:val="superscript"/>
              </w:rPr>
              <w:t>(1)</w:t>
            </w:r>
          </w:p>
        </w:tc>
        <w:tc>
          <w:tcPr>
            <w:tcW w:w="960" w:type="dxa"/>
            <w:vAlign w:val="bottom"/>
            <w:vMerge w:val="continue"/>
            <w:shd w:val="clear" w:color="auto" w:fill="E6E6E6"/>
          </w:tcPr>
          <w:p>
            <w:pPr>
              <w:spacing w:after="0"/>
              <w:rPr>
                <w:sz w:val="23"/>
                <w:szCs w:val="23"/>
                <w:color w:val="auto"/>
              </w:rPr>
            </w:pPr>
          </w:p>
        </w:tc>
        <w:tc>
          <w:tcPr>
            <w:tcW w:w="240" w:type="dxa"/>
            <w:vAlign w:val="bottom"/>
            <w:vMerge w:val="continue"/>
            <w:shd w:val="clear" w:color="auto" w:fill="E6E6E6"/>
          </w:tcPr>
          <w:p>
            <w:pPr>
              <w:spacing w:after="0"/>
              <w:rPr>
                <w:sz w:val="23"/>
                <w:szCs w:val="23"/>
                <w:color w:val="auto"/>
              </w:rPr>
            </w:pPr>
          </w:p>
        </w:tc>
        <w:tc>
          <w:tcPr>
            <w:tcW w:w="720" w:type="dxa"/>
            <w:vAlign w:val="bottom"/>
            <w:vMerge w:val="continue"/>
            <w:shd w:val="clear" w:color="auto" w:fill="E6E6E6"/>
          </w:tcPr>
          <w:p>
            <w:pPr>
              <w:spacing w:after="0"/>
              <w:rPr>
                <w:sz w:val="23"/>
                <w:szCs w:val="23"/>
                <w:color w:val="auto"/>
              </w:rPr>
            </w:pPr>
          </w:p>
        </w:tc>
        <w:tc>
          <w:tcPr>
            <w:tcW w:w="240" w:type="dxa"/>
            <w:vAlign w:val="bottom"/>
            <w:vMerge w:val="continue"/>
            <w:shd w:val="clear" w:color="auto" w:fill="E6E6E6"/>
          </w:tcPr>
          <w:p>
            <w:pPr>
              <w:spacing w:after="0"/>
              <w:rPr>
                <w:sz w:val="23"/>
                <w:szCs w:val="23"/>
                <w:color w:val="auto"/>
              </w:rPr>
            </w:pPr>
          </w:p>
        </w:tc>
        <w:tc>
          <w:tcPr>
            <w:tcW w:w="7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6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w:t>
      </w:r>
    </w:p>
    <w:p>
      <w:pPr>
        <w:spacing w:after="0" w:line="6" w:lineRule="exact"/>
        <w:rPr>
          <w:sz w:val="20"/>
          <w:szCs w:val="20"/>
          <w:color w:val="auto"/>
        </w:rPr>
      </w:pPr>
    </w:p>
    <w:p>
      <w:pPr>
        <w:ind w:left="720" w:right="60" w:hanging="358"/>
        <w:spacing w:after="0" w:line="261" w:lineRule="auto"/>
        <w:tabs>
          <w:tab w:leader="none" w:pos="743" w:val="left"/>
        </w:tabs>
        <w:numPr>
          <w:ilvl w:val="0"/>
          <w:numId w:val="28"/>
        </w:numPr>
        <w:rPr>
          <w:rFonts w:ascii="Arial" w:cs="Arial" w:eastAsia="Arial" w:hAnsi="Arial"/>
          <w:sz w:val="20"/>
          <w:szCs w:val="20"/>
          <w:color w:val="auto"/>
        </w:rPr>
      </w:pPr>
      <w:r>
        <w:rPr>
          <w:rFonts w:ascii="Arial" w:cs="Arial" w:eastAsia="Arial" w:hAnsi="Arial"/>
          <w:sz w:val="20"/>
          <w:szCs w:val="20"/>
          <w:color w:val="auto"/>
        </w:rPr>
        <w:t>For the year ended December 31, 2023, the balance is inclusive of an $8.3 million gain realized in connection with the settlement of certain interest rate swaps. For more information on this transaction, see Note 12, "Financing Arrangements."</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880" w:h="15480" w:orient="portrait"/>
          <w:cols w:equalWidth="0" w:num="1">
            <w:col w:w="10120"/>
          </w:cols>
          <w:pgMar w:left="880" w:top="338" w:right="880" w:bottom="0" w:gutter="0" w:footer="0" w:header="0"/>
          <w:type w:val="continuous"/>
        </w:sectPr>
      </w:pPr>
    </w:p>
    <w:bookmarkStart w:id="93" w:name="page94"/>
    <w:bookmarkEnd w:id="93"/>
    <w:p>
      <w:pPr>
        <w:jc w:val="center"/>
        <w:ind w:right="60"/>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1" w:lineRule="exact"/>
        <w:rPr>
          <w:sz w:val="20"/>
          <w:szCs w:val="20"/>
          <w:color w:val="auto"/>
        </w:rPr>
      </w:pPr>
    </w:p>
    <w:p>
      <w:pPr>
        <w:ind w:right="6700" w:firstLine="7"/>
        <w:spacing w:after="0" w:line="436" w:lineRule="auto"/>
        <w:tabs>
          <w:tab w:leader="none" w:pos="377"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STOCK-BASED COMPENSATION </w:t>
      </w:r>
      <w:r>
        <w:rPr>
          <w:rFonts w:ascii="Arial" w:cs="Arial" w:eastAsia="Arial" w:hAnsi="Arial"/>
          <w:sz w:val="19"/>
          <w:szCs w:val="19"/>
          <w:b w:val="1"/>
          <w:bCs w:val="1"/>
          <w:i w:val="1"/>
          <w:iCs w:val="1"/>
          <w:color w:val="auto"/>
        </w:rPr>
        <w:t>Stock-based Compensation</w:t>
      </w:r>
    </w:p>
    <w:p>
      <w:pPr>
        <w:spacing w:after="0" w:line="1" w:lineRule="exact"/>
        <w:rPr>
          <w:sz w:val="20"/>
          <w:szCs w:val="20"/>
          <w:color w:val="auto"/>
        </w:rPr>
      </w:pPr>
    </w:p>
    <w:p>
      <w:pPr>
        <w:ind w:right="240" w:firstLine="709"/>
        <w:spacing w:after="0" w:line="254" w:lineRule="auto"/>
        <w:rPr>
          <w:sz w:val="20"/>
          <w:szCs w:val="20"/>
          <w:color w:val="auto"/>
        </w:rPr>
      </w:pPr>
      <w:r>
        <w:rPr>
          <w:rFonts w:ascii="Arial" w:cs="Arial" w:eastAsia="Arial" w:hAnsi="Arial"/>
          <w:sz w:val="20"/>
          <w:szCs w:val="20"/>
          <w:color w:val="auto"/>
        </w:rPr>
        <w:t>In 2020, the Company's shareholders approved the Clean Harbors, Inc. 2020 Stock Incentive Plan (the "2020 Plan"). The 2020 Plan provides for future awards of up to 2.5 million shares of the Company’s common stock (subject to certain anti-dilution adjustments) in the form of stock options, stock appreciation rights, restricted stock, restricted stock units and other stock-based awards. The 2020 Plan is administered by the Compensation and Human Capital Committee of the Company’s Board of Directors.</w:t>
      </w:r>
    </w:p>
    <w:p>
      <w:pPr>
        <w:spacing w:after="0" w:line="123" w:lineRule="exact"/>
        <w:rPr>
          <w:sz w:val="20"/>
          <w:szCs w:val="20"/>
          <w:color w:val="auto"/>
        </w:rPr>
      </w:pPr>
    </w:p>
    <w:p>
      <w:pPr>
        <w:ind w:right="100" w:firstLine="709"/>
        <w:spacing w:after="0" w:line="307" w:lineRule="auto"/>
        <w:rPr>
          <w:sz w:val="20"/>
          <w:szCs w:val="20"/>
          <w:color w:val="auto"/>
        </w:rPr>
      </w:pPr>
      <w:r>
        <w:rPr>
          <w:rFonts w:ascii="Arial" w:cs="Arial" w:eastAsia="Arial" w:hAnsi="Arial"/>
          <w:sz w:val="16"/>
          <w:szCs w:val="16"/>
          <w:color w:val="auto"/>
        </w:rPr>
        <w:t>The Company grants restricted stock awards and performance stock awards. The restricted stock awards generally vest over three to five years subject to continued employment. Performance stock awards are subject to performance criteria established by the Compensation and Human Capital Committee of the Company's Board of Directors prior to or at the date of grant. The vesting of the performance stock awards dependent upon the satisfaction of certain performance conditions currently based on revenue, Adjusted EBITDA margin, return on invested capital and a measure of workplace safety. In addition, performance stock awards include continued service conditions subsequent to the attainment of any performance conditions.</w:t>
      </w:r>
    </w:p>
    <w:p>
      <w:pPr>
        <w:spacing w:after="0" w:line="132" w:lineRule="exact"/>
        <w:rPr>
          <w:sz w:val="20"/>
          <w:szCs w:val="20"/>
          <w:color w:val="auto"/>
        </w:rPr>
      </w:pPr>
    </w:p>
    <w:p>
      <w:pPr>
        <w:ind w:right="100" w:firstLine="709"/>
        <w:spacing w:after="0" w:line="256" w:lineRule="auto"/>
        <w:rPr>
          <w:sz w:val="20"/>
          <w:szCs w:val="20"/>
          <w:color w:val="auto"/>
        </w:rPr>
      </w:pPr>
      <w:r>
        <w:rPr>
          <w:rFonts w:ascii="Arial" w:cs="Arial" w:eastAsia="Arial" w:hAnsi="Arial"/>
          <w:sz w:val="20"/>
          <w:szCs w:val="20"/>
          <w:color w:val="auto"/>
        </w:rPr>
        <w:t>Total stock-based compensation cost recognized for the years ended December 31, 2024, 2023 and 2022 was $28.0 million, $20.7 million and $26.8 million, respectively. The total income tax benefit recognized in the consolidated statements of operations from stock-based compensation expense was $5.1 million, $3.5 million and $5.0 million for the years ended December 31, 2024, 2023 and 2022,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Awards</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information about restricted stock awards for the year ended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69"/>
              <w:spacing w:after="0"/>
              <w:rPr>
                <w:sz w:val="20"/>
                <w:szCs w:val="20"/>
                <w:color w:val="auto"/>
              </w:rPr>
            </w:pPr>
            <w:r>
              <w:rPr>
                <w:rFonts w:ascii="Arial" w:cs="Arial" w:eastAsia="Arial" w:hAnsi="Arial"/>
                <w:sz w:val="16"/>
                <w:szCs w:val="16"/>
                <w:b w:val="1"/>
                <w:bCs w:val="1"/>
                <w:color w:val="auto"/>
                <w:w w:val="88"/>
              </w:rPr>
              <w:t>Weighted Average</w:t>
            </w:r>
          </w:p>
        </w:tc>
        <w:tc>
          <w:tcPr>
            <w:tcW w:w="0" w:type="dxa"/>
            <w:vAlign w:val="bottom"/>
          </w:tcPr>
          <w:p>
            <w:pPr>
              <w:spacing w:after="0"/>
              <w:rPr>
                <w:sz w:val="1"/>
                <w:szCs w:val="1"/>
                <w:color w:val="auto"/>
              </w:rPr>
            </w:pPr>
          </w:p>
        </w:tc>
      </w:tr>
      <w:tr>
        <w:trPr>
          <w:trHeight w:val="158"/>
        </w:trPr>
        <w:tc>
          <w:tcPr>
            <w:tcW w:w="69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Restricted Stock</w:t>
            </w:r>
          </w:p>
        </w:tc>
        <w:tc>
          <w:tcPr>
            <w:tcW w:w="6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49"/>
              <w:spacing w:after="0" w:line="158" w:lineRule="exact"/>
              <w:rPr>
                <w:sz w:val="20"/>
                <w:szCs w:val="20"/>
                <w:color w:val="auto"/>
              </w:rPr>
            </w:pPr>
            <w:r>
              <w:rPr>
                <w:rFonts w:ascii="Arial" w:cs="Arial" w:eastAsia="Arial" w:hAnsi="Arial"/>
                <w:sz w:val="16"/>
                <w:szCs w:val="16"/>
                <w:b w:val="1"/>
                <w:bCs w:val="1"/>
                <w:color w:val="auto"/>
                <w:w w:val="94"/>
              </w:rPr>
              <w:t>Grant-Date</w:t>
            </w:r>
          </w:p>
        </w:tc>
        <w:tc>
          <w:tcPr>
            <w:tcW w:w="0" w:type="dxa"/>
            <w:vAlign w:val="bottom"/>
          </w:tcPr>
          <w:p>
            <w:pPr>
              <w:spacing w:after="0"/>
              <w:rPr>
                <w:sz w:val="1"/>
                <w:szCs w:val="1"/>
                <w:color w:val="auto"/>
              </w:rPr>
            </w:pPr>
          </w:p>
        </w:tc>
      </w:tr>
      <w:tr>
        <w:trPr>
          <w:trHeight w:val="211"/>
        </w:trPr>
        <w:tc>
          <w:tcPr>
            <w:tcW w:w="69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5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Shares</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6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71"/>
        </w:trPr>
        <w:tc>
          <w:tcPr>
            <w:tcW w:w="6920" w:type="dxa"/>
            <w:vAlign w:val="bottom"/>
            <w:shd w:val="clear" w:color="auto" w:fill="E6E6E6"/>
          </w:tcPr>
          <w:p>
            <w:pPr>
              <w:ind w:left="60"/>
              <w:spacing w:after="0"/>
              <w:rPr>
                <w:sz w:val="20"/>
                <w:szCs w:val="20"/>
                <w:color w:val="auto"/>
              </w:rPr>
            </w:pPr>
            <w:r>
              <w:rPr>
                <w:rFonts w:ascii="Arial" w:cs="Arial" w:eastAsia="Arial" w:hAnsi="Arial"/>
                <w:sz w:val="20"/>
                <w:szCs w:val="20"/>
                <w:color w:val="auto"/>
              </w:rPr>
              <w:t>Balance at January 1, 2024</w:t>
            </w:r>
          </w:p>
        </w:tc>
        <w:tc>
          <w:tcPr>
            <w:tcW w:w="16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414,623</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114.02</w:t>
            </w:r>
          </w:p>
        </w:tc>
        <w:tc>
          <w:tcPr>
            <w:tcW w:w="0" w:type="dxa"/>
            <w:vAlign w:val="bottom"/>
          </w:tcPr>
          <w:p>
            <w:pPr>
              <w:spacing w:after="0"/>
              <w:rPr>
                <w:sz w:val="1"/>
                <w:szCs w:val="1"/>
                <w:color w:val="auto"/>
              </w:rPr>
            </w:pPr>
          </w:p>
        </w:tc>
      </w:tr>
      <w:tr>
        <w:trPr>
          <w:trHeight w:val="275"/>
        </w:trPr>
        <w:tc>
          <w:tcPr>
            <w:tcW w:w="6920" w:type="dxa"/>
            <w:vAlign w:val="bottom"/>
          </w:tcPr>
          <w:p>
            <w:pPr>
              <w:ind w:left="60"/>
              <w:spacing w:after="0"/>
              <w:rPr>
                <w:sz w:val="20"/>
                <w:szCs w:val="20"/>
                <w:color w:val="auto"/>
              </w:rPr>
            </w:pPr>
            <w:r>
              <w:rPr>
                <w:rFonts w:ascii="Arial" w:cs="Arial" w:eastAsia="Arial" w:hAnsi="Arial"/>
                <w:sz w:val="20"/>
                <w:szCs w:val="20"/>
                <w:color w:val="auto"/>
              </w:rPr>
              <w:t>Granted</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148,941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189.39</w:t>
            </w:r>
          </w:p>
        </w:tc>
        <w:tc>
          <w:tcPr>
            <w:tcW w:w="0" w:type="dxa"/>
            <w:vAlign w:val="bottom"/>
          </w:tcPr>
          <w:p>
            <w:pPr>
              <w:spacing w:after="0"/>
              <w:rPr>
                <w:sz w:val="1"/>
                <w:szCs w:val="1"/>
                <w:color w:val="auto"/>
              </w:rPr>
            </w:pPr>
          </w:p>
        </w:tc>
      </w:tr>
      <w:tr>
        <w:trPr>
          <w:trHeight w:val="287"/>
        </w:trPr>
        <w:tc>
          <w:tcPr>
            <w:tcW w:w="6920" w:type="dxa"/>
            <w:vAlign w:val="bottom"/>
            <w:shd w:val="clear" w:color="auto" w:fill="E6E6E6"/>
          </w:tcPr>
          <w:p>
            <w:pPr>
              <w:ind w:left="60"/>
              <w:spacing w:after="0"/>
              <w:rPr>
                <w:sz w:val="20"/>
                <w:szCs w:val="20"/>
                <w:color w:val="auto"/>
              </w:rPr>
            </w:pPr>
            <w:r>
              <w:rPr>
                <w:rFonts w:ascii="Arial" w:cs="Arial" w:eastAsia="Arial" w:hAnsi="Arial"/>
                <w:sz w:val="20"/>
                <w:szCs w:val="20"/>
                <w:color w:val="auto"/>
              </w:rPr>
              <w:t>Vested</w:t>
            </w:r>
          </w:p>
        </w:tc>
        <w:tc>
          <w:tcPr>
            <w:tcW w:w="16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(150,097)</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107.23</w:t>
            </w:r>
          </w:p>
        </w:tc>
        <w:tc>
          <w:tcPr>
            <w:tcW w:w="0" w:type="dxa"/>
            <w:vAlign w:val="bottom"/>
          </w:tcPr>
          <w:p>
            <w:pPr>
              <w:spacing w:after="0"/>
              <w:rPr>
                <w:sz w:val="1"/>
                <w:szCs w:val="1"/>
                <w:color w:val="auto"/>
              </w:rPr>
            </w:pPr>
          </w:p>
        </w:tc>
      </w:tr>
      <w:tr>
        <w:trPr>
          <w:trHeight w:val="271"/>
        </w:trPr>
        <w:tc>
          <w:tcPr>
            <w:tcW w:w="692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Forfeited</w:t>
            </w:r>
          </w:p>
        </w:tc>
        <w:tc>
          <w:tcPr>
            <w:tcW w:w="60" w:type="dxa"/>
            <w:vAlign w:val="bottom"/>
            <w:tcBorders>
              <w:bottom w:val="single" w:sz="8" w:color="E6E6E6"/>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(25,507)</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E6E6E6"/>
            </w:tcBorders>
          </w:tcPr>
          <w:p>
            <w:pPr>
              <w:spacing w:after="0"/>
              <w:rPr>
                <w:sz w:val="23"/>
                <w:szCs w:val="23"/>
                <w:color w:val="auto"/>
              </w:rPr>
            </w:pPr>
          </w:p>
        </w:tc>
        <w:tc>
          <w:tcPr>
            <w:tcW w:w="140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142.80</w:t>
            </w:r>
          </w:p>
        </w:tc>
        <w:tc>
          <w:tcPr>
            <w:tcW w:w="0" w:type="dxa"/>
            <w:vAlign w:val="bottom"/>
          </w:tcPr>
          <w:p>
            <w:pPr>
              <w:spacing w:after="0"/>
              <w:rPr>
                <w:sz w:val="1"/>
                <w:szCs w:val="1"/>
                <w:color w:val="auto"/>
              </w:rPr>
            </w:pPr>
          </w:p>
        </w:tc>
      </w:tr>
      <w:tr>
        <w:trPr>
          <w:trHeight w:val="280"/>
        </w:trPr>
        <w:tc>
          <w:tcPr>
            <w:tcW w:w="69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Balance at December 31, 2024</w:t>
            </w:r>
          </w:p>
        </w:tc>
        <w:tc>
          <w:tcPr>
            <w:tcW w:w="60" w:type="dxa"/>
            <w:vAlign w:val="bottom"/>
            <w:tcBorders>
              <w:bottom w:val="single" w:sz="8" w:color="E6E6E6"/>
            </w:tcBorders>
            <w:shd w:val="clear" w:color="auto" w:fill="E6E6E6"/>
          </w:tcPr>
          <w:p>
            <w:pPr>
              <w:spacing w:after="0"/>
              <w:rPr>
                <w:sz w:val="24"/>
                <w:szCs w:val="24"/>
                <w:color w:val="auto"/>
              </w:rPr>
            </w:pPr>
          </w:p>
        </w:tc>
        <w:tc>
          <w:tcPr>
            <w:tcW w:w="15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387,960</w:t>
            </w:r>
          </w:p>
        </w:tc>
        <w:tc>
          <w:tcPr>
            <w:tcW w:w="2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143.69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4420235</wp:posOffset>
            </wp:positionH>
            <wp:positionV relativeFrom="paragraph">
              <wp:posOffset>-43180</wp:posOffset>
            </wp:positionV>
            <wp:extent cx="1010285" cy="501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1">
                      <a:extLst>
                        <a:ext uri="{28A0092B-C50C-407E-A947-70E740481C1C}"/>
                      </a:extLst>
                    </a:blip>
                    <a:srcRect/>
                    <a:stretch>
                      <a:fillRect/>
                    </a:stretch>
                  </pic:blipFill>
                  <pic:spPr bwMode="auto">
                    <a:xfrm>
                      <a:off x="0" y="0"/>
                      <a:ext cx="1010285" cy="50165"/>
                    </a:xfrm>
                    <a:prstGeom prst="rect">
                      <a:avLst/>
                    </a:prstGeom>
                    <a:noFill/>
                  </pic:spPr>
                </pic:pic>
              </a:graphicData>
            </a:graphic>
          </wp:anchor>
        </w:drawing>
      </w:r>
    </w:p>
    <w:p>
      <w:pPr>
        <w:spacing w:after="0" w:line="145" w:lineRule="exact"/>
        <w:rPr>
          <w:sz w:val="20"/>
          <w:szCs w:val="20"/>
          <w:color w:val="auto"/>
        </w:rPr>
      </w:pPr>
    </w:p>
    <w:p>
      <w:pPr>
        <w:ind w:right="440" w:firstLine="709"/>
        <w:spacing w:after="0" w:line="356" w:lineRule="auto"/>
        <w:rPr>
          <w:sz w:val="20"/>
          <w:szCs w:val="20"/>
          <w:color w:val="auto"/>
        </w:rPr>
      </w:pPr>
      <w:r>
        <w:rPr>
          <w:rFonts w:ascii="Arial" w:cs="Arial" w:eastAsia="Arial" w:hAnsi="Arial"/>
          <w:sz w:val="16"/>
          <w:szCs w:val="16"/>
          <w:color w:val="auto"/>
        </w:rPr>
        <w:t>As of December 31, 2024, there was $39.5 million of total unrecognized compensation cost arising from restricted stock awards. This cost is expected to be recognized over a weighted average period of 2.7 years. The total fair value of restricted stock vested during 2024, 2023 and 2022 was $31.9 million, $26.5 million and $16.4 million,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Performance Stock Awards</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information about performance stock awards for the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69"/>
              <w:spacing w:after="0"/>
              <w:rPr>
                <w:sz w:val="20"/>
                <w:szCs w:val="20"/>
                <w:color w:val="auto"/>
              </w:rPr>
            </w:pPr>
            <w:r>
              <w:rPr>
                <w:rFonts w:ascii="Arial" w:cs="Arial" w:eastAsia="Arial" w:hAnsi="Arial"/>
                <w:sz w:val="16"/>
                <w:szCs w:val="16"/>
                <w:b w:val="1"/>
                <w:bCs w:val="1"/>
                <w:color w:val="auto"/>
                <w:w w:val="88"/>
              </w:rPr>
              <w:t>Weighted Average</w:t>
            </w:r>
          </w:p>
        </w:tc>
        <w:tc>
          <w:tcPr>
            <w:tcW w:w="0" w:type="dxa"/>
            <w:vAlign w:val="bottom"/>
          </w:tcPr>
          <w:p>
            <w:pPr>
              <w:spacing w:after="0"/>
              <w:rPr>
                <w:sz w:val="1"/>
                <w:szCs w:val="1"/>
                <w:color w:val="auto"/>
              </w:rPr>
            </w:pPr>
          </w:p>
        </w:tc>
      </w:tr>
      <w:tr>
        <w:trPr>
          <w:trHeight w:val="158"/>
        </w:trPr>
        <w:tc>
          <w:tcPr>
            <w:tcW w:w="68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Performance Stock</w:t>
            </w:r>
          </w:p>
        </w:tc>
        <w:tc>
          <w:tcPr>
            <w:tcW w:w="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ind w:right="49"/>
              <w:spacing w:after="0" w:line="158" w:lineRule="exact"/>
              <w:rPr>
                <w:sz w:val="20"/>
                <w:szCs w:val="20"/>
                <w:color w:val="auto"/>
              </w:rPr>
            </w:pPr>
            <w:r>
              <w:rPr>
                <w:rFonts w:ascii="Arial" w:cs="Arial" w:eastAsia="Arial" w:hAnsi="Arial"/>
                <w:sz w:val="16"/>
                <w:szCs w:val="16"/>
                <w:b w:val="1"/>
                <w:bCs w:val="1"/>
                <w:color w:val="auto"/>
                <w:w w:val="94"/>
              </w:rPr>
              <w:t>Grant-Date</w:t>
            </w:r>
          </w:p>
        </w:tc>
        <w:tc>
          <w:tcPr>
            <w:tcW w:w="0" w:type="dxa"/>
            <w:vAlign w:val="bottom"/>
          </w:tcPr>
          <w:p>
            <w:pPr>
              <w:spacing w:after="0"/>
              <w:rPr>
                <w:sz w:val="1"/>
                <w:szCs w:val="1"/>
                <w:color w:val="auto"/>
              </w:rPr>
            </w:pPr>
          </w:p>
        </w:tc>
      </w:tr>
      <w:tr>
        <w:trPr>
          <w:trHeight w:val="211"/>
        </w:trPr>
        <w:tc>
          <w:tcPr>
            <w:tcW w:w="6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5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6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71"/>
        </w:trPr>
        <w:tc>
          <w:tcPr>
            <w:tcW w:w="6880" w:type="dxa"/>
            <w:vAlign w:val="bottom"/>
            <w:shd w:val="clear" w:color="auto" w:fill="E6E6E6"/>
          </w:tcPr>
          <w:p>
            <w:pPr>
              <w:ind w:left="60"/>
              <w:spacing w:after="0"/>
              <w:rPr>
                <w:sz w:val="20"/>
                <w:szCs w:val="20"/>
                <w:color w:val="auto"/>
              </w:rPr>
            </w:pPr>
            <w:r>
              <w:rPr>
                <w:rFonts w:ascii="Arial" w:cs="Arial" w:eastAsia="Arial" w:hAnsi="Arial"/>
                <w:sz w:val="20"/>
                <w:szCs w:val="20"/>
                <w:color w:val="auto"/>
              </w:rPr>
              <w:t>Balance at January 1, 2024</w:t>
            </w:r>
          </w:p>
        </w:tc>
        <w:tc>
          <w:tcPr>
            <w:tcW w:w="16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181,284</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114.10</w:t>
            </w:r>
          </w:p>
        </w:tc>
        <w:tc>
          <w:tcPr>
            <w:tcW w:w="0" w:type="dxa"/>
            <w:vAlign w:val="bottom"/>
          </w:tcPr>
          <w:p>
            <w:pPr>
              <w:spacing w:after="0"/>
              <w:rPr>
                <w:sz w:val="1"/>
                <w:szCs w:val="1"/>
                <w:color w:val="auto"/>
              </w:rPr>
            </w:pPr>
          </w:p>
        </w:tc>
      </w:tr>
      <w:tr>
        <w:trPr>
          <w:trHeight w:val="275"/>
        </w:trPr>
        <w:tc>
          <w:tcPr>
            <w:tcW w:w="6880" w:type="dxa"/>
            <w:vAlign w:val="bottom"/>
          </w:tcPr>
          <w:p>
            <w:pPr>
              <w:ind w:left="60"/>
              <w:spacing w:after="0"/>
              <w:rPr>
                <w:sz w:val="20"/>
                <w:szCs w:val="20"/>
                <w:color w:val="auto"/>
              </w:rPr>
            </w:pPr>
            <w:r>
              <w:rPr>
                <w:rFonts w:ascii="Arial" w:cs="Arial" w:eastAsia="Arial" w:hAnsi="Arial"/>
                <w:sz w:val="20"/>
                <w:szCs w:val="20"/>
                <w:color w:val="auto"/>
              </w:rPr>
              <w:t>Granted</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79,738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173.45</w:t>
            </w:r>
          </w:p>
        </w:tc>
        <w:tc>
          <w:tcPr>
            <w:tcW w:w="0" w:type="dxa"/>
            <w:vAlign w:val="bottom"/>
          </w:tcPr>
          <w:p>
            <w:pPr>
              <w:spacing w:after="0"/>
              <w:rPr>
                <w:sz w:val="1"/>
                <w:szCs w:val="1"/>
                <w:color w:val="auto"/>
              </w:rPr>
            </w:pPr>
          </w:p>
        </w:tc>
      </w:tr>
      <w:tr>
        <w:trPr>
          <w:trHeight w:val="287"/>
        </w:trPr>
        <w:tc>
          <w:tcPr>
            <w:tcW w:w="6880" w:type="dxa"/>
            <w:vAlign w:val="bottom"/>
            <w:shd w:val="clear" w:color="auto" w:fill="E6E6E6"/>
          </w:tcPr>
          <w:p>
            <w:pPr>
              <w:ind w:left="60"/>
              <w:spacing w:after="0"/>
              <w:rPr>
                <w:sz w:val="20"/>
                <w:szCs w:val="20"/>
                <w:color w:val="auto"/>
              </w:rPr>
            </w:pPr>
            <w:r>
              <w:rPr>
                <w:rFonts w:ascii="Arial" w:cs="Arial" w:eastAsia="Arial" w:hAnsi="Arial"/>
                <w:sz w:val="20"/>
                <w:szCs w:val="20"/>
                <w:color w:val="auto"/>
              </w:rPr>
              <w:t>Vested</w:t>
            </w:r>
          </w:p>
        </w:tc>
        <w:tc>
          <w:tcPr>
            <w:tcW w:w="16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(38,882)</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104.69</w:t>
            </w:r>
          </w:p>
        </w:tc>
        <w:tc>
          <w:tcPr>
            <w:tcW w:w="0" w:type="dxa"/>
            <w:vAlign w:val="bottom"/>
          </w:tcPr>
          <w:p>
            <w:pPr>
              <w:spacing w:after="0"/>
              <w:rPr>
                <w:sz w:val="1"/>
                <w:szCs w:val="1"/>
                <w:color w:val="auto"/>
              </w:rPr>
            </w:pPr>
          </w:p>
        </w:tc>
      </w:tr>
      <w:tr>
        <w:trPr>
          <w:trHeight w:val="271"/>
        </w:trPr>
        <w:tc>
          <w:tcPr>
            <w:tcW w:w="688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Forfeited</w:t>
            </w:r>
          </w:p>
        </w:tc>
        <w:tc>
          <w:tcPr>
            <w:tcW w:w="60" w:type="dxa"/>
            <w:vAlign w:val="bottom"/>
            <w:tcBorders>
              <w:bottom w:val="single" w:sz="8" w:color="E6E6E6"/>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(62,944)</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E6E6E6"/>
            </w:tcBorders>
          </w:tcPr>
          <w:p>
            <w:pPr>
              <w:spacing w:after="0"/>
              <w:rPr>
                <w:sz w:val="23"/>
                <w:szCs w:val="23"/>
                <w:color w:val="auto"/>
              </w:rPr>
            </w:pPr>
          </w:p>
        </w:tc>
        <w:tc>
          <w:tcPr>
            <w:tcW w:w="144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128.99</w:t>
            </w:r>
          </w:p>
        </w:tc>
        <w:tc>
          <w:tcPr>
            <w:tcW w:w="0" w:type="dxa"/>
            <w:vAlign w:val="bottom"/>
          </w:tcPr>
          <w:p>
            <w:pPr>
              <w:spacing w:after="0"/>
              <w:rPr>
                <w:sz w:val="1"/>
                <w:szCs w:val="1"/>
                <w:color w:val="auto"/>
              </w:rPr>
            </w:pPr>
          </w:p>
        </w:tc>
      </w:tr>
      <w:tr>
        <w:trPr>
          <w:trHeight w:val="280"/>
        </w:trPr>
        <w:tc>
          <w:tcPr>
            <w:tcW w:w="68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Balance at December 31, 2024</w:t>
            </w:r>
          </w:p>
        </w:tc>
        <w:tc>
          <w:tcPr>
            <w:tcW w:w="6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159,196</w:t>
            </w:r>
          </w:p>
        </w:tc>
        <w:tc>
          <w:tcPr>
            <w:tcW w:w="2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102.09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-43180</wp:posOffset>
            </wp:positionV>
            <wp:extent cx="1029335" cy="50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2">
                      <a:extLst>
                        <a:ext uri="{28A0092B-C50C-407E-A947-70E740481C1C}"/>
                      </a:extLst>
                    </a:blip>
                    <a:srcRect/>
                    <a:stretch>
                      <a:fillRect/>
                    </a:stretch>
                  </pic:blipFill>
                  <pic:spPr bwMode="auto">
                    <a:xfrm>
                      <a:off x="0" y="0"/>
                      <a:ext cx="1029335" cy="50165"/>
                    </a:xfrm>
                    <a:prstGeom prst="rect">
                      <a:avLst/>
                    </a:prstGeom>
                    <a:noFill/>
                  </pic:spPr>
                </pic:pic>
              </a:graphicData>
            </a:graphic>
          </wp:anchor>
        </w:drawing>
      </w:r>
    </w:p>
    <w:p>
      <w:pPr>
        <w:spacing w:after="0" w:line="145" w:lineRule="exact"/>
        <w:rPr>
          <w:sz w:val="20"/>
          <w:szCs w:val="20"/>
          <w:color w:val="auto"/>
        </w:rPr>
      </w:pPr>
    </w:p>
    <w:p>
      <w:pPr>
        <w:ind w:right="100" w:firstLine="709"/>
        <w:spacing w:after="0" w:line="256" w:lineRule="auto"/>
        <w:rPr>
          <w:sz w:val="20"/>
          <w:szCs w:val="20"/>
          <w:color w:val="auto"/>
        </w:rPr>
      </w:pPr>
      <w:r>
        <w:rPr>
          <w:rFonts w:ascii="Arial" w:cs="Arial" w:eastAsia="Arial" w:hAnsi="Arial"/>
          <w:sz w:val="20"/>
          <w:szCs w:val="20"/>
          <w:color w:val="auto"/>
        </w:rPr>
        <w:t>As of December 31, 2024, there was $5.7 million of total unrecognized compensation cost arising from unvested performance stock awards deemed probable of vesting. This cost is expected to be recognized over a weighted average period of 2.4 years. The total fair value of performance awards vested during 2024, 2023 and 2022 was $8.6 million, $17.0 million and $11.1 million, respectively.</w:t>
      </w:r>
    </w:p>
    <w:p>
      <w:pPr>
        <w:sectPr>
          <w:pgSz w:w="11880" w:h="15480" w:orient="portrait"/>
          <w:cols w:equalWidth="0" w:num="1">
            <w:col w:w="10180"/>
          </w:cols>
          <w:pgMar w:left="880" w:top="33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86</w:t>
      </w:r>
    </w:p>
    <w:p>
      <w:pPr>
        <w:sectPr>
          <w:pgSz w:w="11880" w:h="15480" w:orient="portrait"/>
          <w:cols w:equalWidth="0" w:num="1">
            <w:col w:w="10180"/>
          </w:cols>
          <w:pgMar w:left="880" w:top="338" w:right="820" w:bottom="0" w:gutter="0" w:footer="0" w:header="0"/>
          <w:type w:val="continuous"/>
        </w:sectPr>
      </w:pPr>
    </w:p>
    <w:bookmarkStart w:id="94" w:name="page95"/>
    <w:bookmarkEnd w:id="94"/>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Stock Purchase Plan</w:t>
      </w:r>
    </w:p>
    <w:p>
      <w:pPr>
        <w:spacing w:after="0" w:line="172" w:lineRule="exact"/>
        <w:rPr>
          <w:sz w:val="20"/>
          <w:szCs w:val="20"/>
          <w:color w:val="auto"/>
        </w:rPr>
      </w:pPr>
    </w:p>
    <w:p>
      <w:pPr>
        <w:ind w:right="80" w:firstLine="709"/>
        <w:spacing w:after="0" w:line="324" w:lineRule="auto"/>
        <w:rPr>
          <w:sz w:val="20"/>
          <w:szCs w:val="20"/>
          <w:color w:val="auto"/>
        </w:rPr>
      </w:pPr>
      <w:r>
        <w:rPr>
          <w:rFonts w:ascii="Arial" w:cs="Arial" w:eastAsia="Arial" w:hAnsi="Arial"/>
          <w:sz w:val="16"/>
          <w:szCs w:val="16"/>
          <w:color w:val="auto"/>
        </w:rPr>
        <w:t>On May 22, 2024, the Company’s shareholders approved the Clean Harbors Employee Stock Purchase Plan (the “ESPP”). The ESPP provides a means for eligible employees of the Company to authorize after-tax payroll deductions on a voluntary basis to be used for the periodic purchase of the Company's common stock at a 10% discount to its fair market value. The purchase price paid by the employees will be 90% of the lower of the closing price of the Company's common stock on (i) the first trading day of the offering period or (ii) the last trading day of the offering period. A total of 500,000 shares of common stock are reserved for issuance under the ESPP. As of December 31, 2024, 15,435 shares have been issued under the plan. For the year ended December 31, 2024 total stock-based compensation cost recognized for the ESPP was $0.7 million.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COMMITMENTS AND CONTINGENCIES</w:t>
      </w:r>
    </w:p>
    <w:p>
      <w:pPr>
        <w:spacing w:after="0" w:line="171" w:lineRule="exact"/>
        <w:rPr>
          <w:sz w:val="20"/>
          <w:szCs w:val="20"/>
          <w:color w:val="auto"/>
        </w:rPr>
      </w:pPr>
    </w:p>
    <w:p>
      <w:pPr>
        <w:ind w:firstLine="709"/>
        <w:spacing w:after="0" w:line="280" w:lineRule="auto"/>
        <w:rPr>
          <w:sz w:val="20"/>
          <w:szCs w:val="20"/>
          <w:color w:val="auto"/>
        </w:rPr>
      </w:pPr>
      <w:r>
        <w:rPr>
          <w:rFonts w:ascii="Arial" w:cs="Arial" w:eastAsia="Arial" w:hAnsi="Arial"/>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02" w:lineRule="exact"/>
        <w:rPr>
          <w:sz w:val="20"/>
          <w:szCs w:val="20"/>
          <w:color w:val="auto"/>
        </w:rPr>
      </w:pPr>
    </w:p>
    <w:p>
      <w:pPr>
        <w:ind w:right="20" w:firstLine="709"/>
        <w:spacing w:after="0" w:line="308" w:lineRule="auto"/>
        <w:rPr>
          <w:sz w:val="20"/>
          <w:szCs w:val="20"/>
          <w:color w:val="auto"/>
        </w:rPr>
      </w:pPr>
      <w:r>
        <w:rPr>
          <w:rFonts w:ascii="Arial" w:cs="Arial" w:eastAsia="Arial" w:hAnsi="Arial"/>
          <w:sz w:val="16"/>
          <w:szCs w:val="16"/>
          <w:color w:val="auto"/>
        </w:rPr>
        <w:t>At December 31, 2024 and 2023, the Company had recorded reserves of $29.8 million and $32.4 million, respectively, for actual or probable liabilities related to the legal and administrative proceedings in which the Company was then involved, the principal of which are described below. As of December 31, 2024 and 2023, the $29.8 million and $32.4 million, respectively, of reserves consisted of (i) $23.3 million and $25.0 million, respectively, related to pending legal or administrative proceedings, including Superfund liabilities, which were included in remedial liabilities on the consolidated balance sheets, and</w:t>
      </w:r>
    </w:p>
    <w:p>
      <w:pPr>
        <w:spacing w:after="0" w:line="1" w:lineRule="exact"/>
        <w:rPr>
          <w:sz w:val="20"/>
          <w:szCs w:val="20"/>
          <w:color w:val="auto"/>
        </w:rPr>
      </w:pPr>
    </w:p>
    <w:p>
      <w:pPr>
        <w:ind w:right="500" w:firstLine="7"/>
        <w:spacing w:after="0" w:line="276" w:lineRule="auto"/>
        <w:tabs>
          <w:tab w:leader="none" w:pos="290" w:val="left"/>
        </w:tabs>
        <w:numPr>
          <w:ilvl w:val="0"/>
          <w:numId w:val="30"/>
        </w:numPr>
        <w:rPr>
          <w:rFonts w:ascii="Arial" w:cs="Arial" w:eastAsia="Arial" w:hAnsi="Arial"/>
          <w:sz w:val="20"/>
          <w:szCs w:val="20"/>
          <w:color w:val="auto"/>
        </w:rPr>
      </w:pPr>
      <w:r>
        <w:rPr>
          <w:rFonts w:ascii="Arial" w:cs="Arial" w:eastAsia="Arial" w:hAnsi="Arial"/>
          <w:sz w:val="20"/>
          <w:szCs w:val="20"/>
          <w:color w:val="auto"/>
        </w:rPr>
        <w:t>$6.5 million and $7.4 million, respectively, related to federal, state and provincial enforcement actions as well as legal claims, which were included in accrued expenses on the consolidated balance sheets.</w:t>
      </w:r>
    </w:p>
    <w:p>
      <w:pPr>
        <w:spacing w:after="0" w:line="101" w:lineRule="exact"/>
        <w:rPr>
          <w:sz w:val="20"/>
          <w:szCs w:val="20"/>
          <w:color w:val="auto"/>
        </w:rPr>
      </w:pPr>
    </w:p>
    <w:p>
      <w:pPr>
        <w:ind w:right="20" w:firstLine="709"/>
        <w:spacing w:after="0" w:line="254" w:lineRule="auto"/>
        <w:rPr>
          <w:sz w:val="20"/>
          <w:szCs w:val="20"/>
          <w:color w:val="auto"/>
        </w:rPr>
      </w:pPr>
      <w:r>
        <w:rPr>
          <w:rFonts w:ascii="Arial" w:cs="Arial" w:eastAsia="Arial" w:hAnsi="Arial"/>
          <w:sz w:val="20"/>
          <w:szCs w:val="20"/>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or Administrative Proceedings</w:t>
      </w:r>
    </w:p>
    <w:p>
      <w:pPr>
        <w:spacing w:after="0" w:line="172" w:lineRule="exact"/>
        <w:rPr>
          <w:sz w:val="20"/>
          <w:szCs w:val="20"/>
          <w:color w:val="auto"/>
        </w:rPr>
      </w:pPr>
    </w:p>
    <w:p>
      <w:pPr>
        <w:ind w:right="140" w:firstLine="709"/>
        <w:spacing w:after="0" w:line="333" w:lineRule="auto"/>
        <w:rPr>
          <w:sz w:val="20"/>
          <w:szCs w:val="20"/>
          <w:color w:val="auto"/>
        </w:rPr>
      </w:pPr>
      <w:r>
        <w:rPr>
          <w:rFonts w:ascii="Arial" w:cs="Arial" w:eastAsia="Arial" w:hAnsi="Arial"/>
          <w:sz w:val="18"/>
          <w:szCs w:val="18"/>
          <w:color w:val="auto"/>
        </w:rPr>
        <w:t>As of December 31, 2024, the principal legal and administrative proceedings in which the Company was involved, or which had been terminated during 2024, relate to Safety-Kleen product liability cases and Superfund proceedings.</w:t>
      </w:r>
    </w:p>
    <w:p>
      <w:pPr>
        <w:spacing w:after="0" w:line="53" w:lineRule="exact"/>
        <w:rPr>
          <w:sz w:val="20"/>
          <w:szCs w:val="20"/>
          <w:color w:val="auto"/>
        </w:rPr>
      </w:pPr>
    </w:p>
    <w:p>
      <w:pPr>
        <w:ind w:right="100" w:firstLine="709"/>
        <w:spacing w:after="0" w:line="281" w:lineRule="auto"/>
        <w:rPr>
          <w:sz w:val="20"/>
          <w:szCs w:val="20"/>
          <w:color w:val="auto"/>
        </w:rPr>
      </w:pPr>
      <w:r>
        <w:rPr>
          <w:rFonts w:ascii="Arial" w:cs="Arial" w:eastAsia="Arial" w:hAnsi="Arial"/>
          <w:sz w:val="18"/>
          <w:szCs w:val="18"/>
          <w:b w:val="1"/>
          <w:bCs w:val="1"/>
          <w:i w:val="1"/>
          <w:iCs w:val="1"/>
          <w:color w:val="auto"/>
        </w:rPr>
        <w:t xml:space="preserve">Safety-Kleen Product Liability Cases: </w:t>
      </w:r>
      <w:r>
        <w:rPr>
          <w:rFonts w:ascii="Arial" w:cs="Arial" w:eastAsia="Arial" w:hAnsi="Arial"/>
          <w:sz w:val="18"/>
          <w:szCs w:val="18"/>
          <w:color w:val="auto"/>
        </w:rPr>
        <w:t>Safety-Kleen, Inc. ("Safety-Kleen"), which is a legal entity acquired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 2012, has been named as a defendant in certain product liability cases that are currently pending in various courts and jurisdictions throughout the United States. As of December 31, 2024, there were approximately 68 proceedings (excluding cases which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107" w:lineRule="exact"/>
        <w:rPr>
          <w:sz w:val="20"/>
          <w:szCs w:val="20"/>
          <w:color w:val="auto"/>
        </w:rPr>
      </w:pPr>
    </w:p>
    <w:p>
      <w:pPr>
        <w:ind w:firstLine="709"/>
        <w:spacing w:after="0" w:line="327" w:lineRule="auto"/>
        <w:rPr>
          <w:sz w:val="20"/>
          <w:szCs w:val="20"/>
          <w:color w:val="auto"/>
        </w:rPr>
      </w:pPr>
      <w:r>
        <w:rPr>
          <w:rFonts w:ascii="Arial" w:cs="Arial" w:eastAsia="Arial" w:hAnsi="Arial"/>
          <w:sz w:val="16"/>
          <w:szCs w:val="16"/>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December 31, 2024.</w:t>
      </w:r>
    </w:p>
    <w:p>
      <w:pPr>
        <w:sectPr>
          <w:pgSz w:w="11880" w:h="15480" w:orient="portrait"/>
          <w:cols w:equalWidth="0" w:num="1">
            <w:col w:w="10100"/>
          </w:cols>
          <w:pgMar w:left="880" w:top="338" w:right="900" w:bottom="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880" w:h="15480" w:orient="portrait"/>
          <w:cols w:equalWidth="0" w:num="1">
            <w:col w:w="10100"/>
          </w:cols>
          <w:pgMar w:left="880" w:top="338" w:right="900" w:bottom="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From January 1, 2024 to December 31, 2024, 18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119" w:lineRule="exact"/>
        <w:rPr>
          <w:sz w:val="20"/>
          <w:szCs w:val="20"/>
          <w:color w:val="auto"/>
        </w:rPr>
      </w:pPr>
    </w:p>
    <w:p>
      <w:pPr>
        <w:ind w:right="60" w:firstLine="709"/>
        <w:spacing w:after="0" w:line="325" w:lineRule="auto"/>
        <w:rPr>
          <w:sz w:val="20"/>
          <w:szCs w:val="20"/>
          <w:color w:val="auto"/>
        </w:rPr>
      </w:pPr>
      <w:r>
        <w:rPr>
          <w:rFonts w:ascii="Arial" w:cs="Arial" w:eastAsia="Arial" w:hAnsi="Arial"/>
          <w:sz w:val="16"/>
          <w:szCs w:val="16"/>
          <w:b w:val="1"/>
          <w:bCs w:val="1"/>
          <w:i w:val="1"/>
          <w:iCs w:val="1"/>
          <w:color w:val="auto"/>
        </w:rPr>
        <w:t xml:space="preserve">Superfund Proceedings: </w:t>
      </w:r>
      <w:r>
        <w:rPr>
          <w:rFonts w:ascii="Arial" w:cs="Arial" w:eastAsia="Arial" w:hAnsi="Arial"/>
          <w:sz w:val="16"/>
          <w:szCs w:val="16"/>
          <w:color w:val="auto"/>
        </w:rPr>
        <w:t>The Company has been notified that either the Company (which, since December 28, 2012,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included Safety-Kleen) or the prior owners of certain of the Company's facilities for which the Company may have certain indemnification obligations have been identified as PRPs or potential PRPs in connection with 131 sites which are subject to or are proposed to become subject to proceedings under federal or state Superfund laws. Of the 131 Superfund related sites, six involve facilities that are now owned or leased by the Company and 125 involve third-party sites to which either the Company or the prior owners of certain of the Company’s facilities shipped waste. Of the 125 third-party sites, 30 are now settled, 12 are currently requiring expenditures on remediation and 83 are not currently requiring expenditures on remediation.</w:t>
      </w:r>
    </w:p>
    <w:p>
      <w:pPr>
        <w:spacing w:after="0" w:line="71" w:lineRule="exact"/>
        <w:rPr>
          <w:sz w:val="20"/>
          <w:szCs w:val="20"/>
          <w:color w:val="auto"/>
        </w:rPr>
      </w:pPr>
    </w:p>
    <w:p>
      <w:pPr>
        <w:ind w:firstLine="709"/>
        <w:spacing w:after="0" w:line="264" w:lineRule="auto"/>
        <w:rPr>
          <w:sz w:val="20"/>
          <w:szCs w:val="20"/>
          <w:color w:val="auto"/>
        </w:rPr>
      </w:pPr>
      <w:r>
        <w:rPr>
          <w:rFonts w:ascii="Arial" w:cs="Arial" w:eastAsia="Arial" w:hAnsi="Arial"/>
          <w:sz w:val="19"/>
          <w:szCs w:val="19"/>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131 Superfund related sites.</w:t>
      </w:r>
    </w:p>
    <w:p>
      <w:pPr>
        <w:spacing w:after="0" w:line="118" w:lineRule="exact"/>
        <w:rPr>
          <w:sz w:val="20"/>
          <w:szCs w:val="20"/>
          <w:color w:val="auto"/>
        </w:rPr>
      </w:pPr>
    </w:p>
    <w:p>
      <w:pPr>
        <w:ind w:firstLine="709"/>
        <w:spacing w:after="0" w:line="281" w:lineRule="auto"/>
        <w:rPr>
          <w:sz w:val="20"/>
          <w:szCs w:val="20"/>
          <w:color w:val="auto"/>
        </w:rPr>
      </w:pPr>
      <w:r>
        <w:rPr>
          <w:rFonts w:ascii="Arial" w:cs="Arial" w:eastAsia="Arial" w:hAnsi="Arial"/>
          <w:sz w:val="18"/>
          <w:szCs w:val="18"/>
          <w:color w:val="auto"/>
        </w:rPr>
        <w:t>Of the 125 third-party sites at which the Company has been notified it is a PRP or potential PRP or may have indemnification obligations, the Company has indemnification agreements at a total of 17 sites. These agreements indemnify the Company (which now includes Safety-Kleen) with respect to any liability at the 17 sites for waste disposed prior to the Company's (or Safety-Kleen's) acquisition of the former subsidiaries of Waste Management and McKesson which had shipped waste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125 third-party sites discussed above.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Federal, State and Provincial Enforcement Actions</w:t>
      </w:r>
    </w:p>
    <w:p>
      <w:pPr>
        <w:spacing w:after="0" w:line="172" w:lineRule="exact"/>
        <w:rPr>
          <w:sz w:val="20"/>
          <w:szCs w:val="20"/>
          <w:color w:val="auto"/>
        </w:rPr>
      </w:pPr>
    </w:p>
    <w:p>
      <w:pPr>
        <w:ind w:right="40" w:firstLine="709"/>
        <w:spacing w:after="0" w:line="254" w:lineRule="auto"/>
        <w:rPr>
          <w:sz w:val="20"/>
          <w:szCs w:val="20"/>
          <w:color w:val="auto"/>
        </w:rPr>
      </w:pPr>
      <w:r>
        <w:rPr>
          <w:rFonts w:ascii="Arial" w:cs="Arial" w:eastAsia="Arial" w:hAnsi="Arial"/>
          <w:sz w:val="20"/>
          <w:szCs w:val="20"/>
          <w:color w:val="auto"/>
        </w:rPr>
        <w:t>From time to time, the Company pays fines or penalties in regulatory proceedings relating primarily to waste treatment, storage or disposal facilities. As of December 31, 2024, there were two proceedings for which the Company believes it is possible that the sanctions could equal or exceed $1.0 million. The Company believes that the fines or other penalties in this or any of the other regulatory proceedings will, individually or in the aggregate, not have a material effect on its financial condition, results of operations or cash flows.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Self-Insurance Liabilities</w:t>
      </w:r>
    </w:p>
    <w:p>
      <w:pPr>
        <w:spacing w:after="0" w:line="172" w:lineRule="exact"/>
        <w:rPr>
          <w:sz w:val="20"/>
          <w:szCs w:val="20"/>
          <w:color w:val="auto"/>
        </w:rPr>
      </w:pPr>
    </w:p>
    <w:p>
      <w:pPr>
        <w:ind w:right="240" w:firstLine="709"/>
        <w:spacing w:after="0" w:line="274" w:lineRule="auto"/>
        <w:rPr>
          <w:sz w:val="20"/>
          <w:szCs w:val="20"/>
          <w:color w:val="auto"/>
        </w:rPr>
      </w:pPr>
      <w:r>
        <w:rPr>
          <w:rFonts w:ascii="Arial" w:cs="Arial" w:eastAsia="Arial" w:hAnsi="Arial"/>
          <w:sz w:val="19"/>
          <w:szCs w:val="19"/>
          <w:color w:val="auto"/>
        </w:rPr>
        <w:t>Under the Company's insurance programs, coverage is obtained for catastrophic exposures, as well as those risks required to be insured by law or contract. The Company's policy is to retain a significant portion of certain expected losses related to workers' compensation, employee medical, comprehensive general liability and vehicle liability. A portion of these self-insured liabilities are managed through its wholly-owned captive insurance subsidiary.</w:t>
      </w:r>
    </w:p>
    <w:p>
      <w:pPr>
        <w:spacing w:after="0" w:line="105" w:lineRule="exact"/>
        <w:rPr>
          <w:sz w:val="20"/>
          <w:szCs w:val="20"/>
          <w:color w:val="auto"/>
        </w:rPr>
      </w:pPr>
    </w:p>
    <w:p>
      <w:pPr>
        <w:ind w:right="100" w:firstLine="709"/>
        <w:spacing w:after="0" w:line="286" w:lineRule="auto"/>
        <w:rPr>
          <w:sz w:val="20"/>
          <w:szCs w:val="20"/>
          <w:color w:val="auto"/>
        </w:rPr>
      </w:pPr>
      <w:r>
        <w:rPr>
          <w:rFonts w:ascii="Arial" w:cs="Arial" w:eastAsia="Arial" w:hAnsi="Arial"/>
          <w:sz w:val="18"/>
          <w:szCs w:val="18"/>
          <w:color w:val="auto"/>
        </w:rPr>
        <w:t>Provisions for losses expected under these programs are recorded based upon the Company's estimates of the aggregate liability for claims. The current deductible per participant per year for the employee medical insurance policy is $2.0 million. The current deductible per occurrence for workers' compensation is $1.0 million, general liability is $2.0 million and vehicle liability is $2.0 million. The retention per claim for the environmental impairment policy is $1.0 million. At December 31, 2024 and 2023, the Company had accrued $83.7 million and $82.7 million, respectively, for its self-insurance liabilities (exclusive of employee medical insurance) using a risk-free discount rate of 4.14% and 4.86%, respectively.</w:t>
      </w:r>
    </w:p>
    <w:p>
      <w:pPr>
        <w:sectPr>
          <w:pgSz w:w="11880" w:h="15480" w:orient="portrait"/>
          <w:cols w:equalWidth="0" w:num="1">
            <w:col w:w="10100"/>
          </w:cols>
          <w:pgMar w:left="880" w:top="3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880" w:h="15480" w:orient="portrait"/>
          <w:cols w:equalWidth="0" w:num="1">
            <w:col w:w="10100"/>
          </w:cols>
          <w:pgMar w:left="880" w:top="338" w:right="900" w:bottom="0" w:gutter="0" w:footer="0" w:header="0"/>
          <w:type w:val="continuous"/>
        </w:sectPr>
      </w:pPr>
    </w:p>
    <w:bookmarkStart w:id="96" w:name="page97"/>
    <w:bookmarkEnd w:id="96"/>
    <w:p>
      <w:pPr>
        <w:jc w:val="center"/>
        <w:ind w:right="40"/>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left="20" w:right="160" w:firstLine="709"/>
        <w:spacing w:after="0" w:line="405" w:lineRule="auto"/>
        <w:rPr>
          <w:sz w:val="20"/>
          <w:szCs w:val="20"/>
          <w:color w:val="auto"/>
        </w:rPr>
      </w:pPr>
      <w:r>
        <w:rPr>
          <w:rFonts w:ascii="Arial" w:cs="Arial" w:eastAsia="Arial" w:hAnsi="Arial"/>
          <w:sz w:val="16"/>
          <w:szCs w:val="16"/>
          <w:color w:val="auto"/>
        </w:rPr>
        <w:t>Anticipated payments for contingencies related to workers' compensation, comprehensive general liability and vehicle liability related claims at December 31, 2024 for each of the next five years and thereafter were as follows (in thousands):</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6"/>
          <w:szCs w:val="16"/>
          <w:b w:val="1"/>
          <w:bCs w:val="1"/>
          <w:u w:val="single" w:color="auto"/>
          <w:color w:val="auto"/>
        </w:rPr>
        <w:t>Years ending December 31,</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860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2025</w:t>
            </w:r>
          </w:p>
        </w:tc>
        <w:tc>
          <w:tcPr>
            <w:tcW w:w="480" w:type="dxa"/>
            <w:vAlign w:val="bottom"/>
            <w:shd w:val="clear" w:color="auto" w:fill="E6E6E6"/>
          </w:tcPr>
          <w:p>
            <w:pPr>
              <w:jc w:val="right"/>
              <w:ind w:right="242"/>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25,855</w:t>
            </w:r>
          </w:p>
        </w:tc>
      </w:tr>
      <w:tr>
        <w:trPr>
          <w:trHeight w:val="275"/>
        </w:trPr>
        <w:tc>
          <w:tcPr>
            <w:tcW w:w="8600" w:type="dxa"/>
            <w:vAlign w:val="bottom"/>
          </w:tcPr>
          <w:p>
            <w:pPr>
              <w:ind w:left="60"/>
              <w:spacing w:after="0"/>
              <w:rPr>
                <w:sz w:val="20"/>
                <w:szCs w:val="20"/>
                <w:color w:val="auto"/>
              </w:rPr>
            </w:pPr>
            <w:r>
              <w:rPr>
                <w:rFonts w:ascii="Arial" w:cs="Arial" w:eastAsia="Arial" w:hAnsi="Arial"/>
                <w:sz w:val="20"/>
                <w:szCs w:val="20"/>
                <w:color w:val="auto"/>
              </w:rPr>
              <w:t>2026</w:t>
            </w: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21,083</w:t>
            </w:r>
          </w:p>
        </w:tc>
      </w:tr>
      <w:tr>
        <w:trPr>
          <w:trHeight w:val="287"/>
        </w:trPr>
        <w:tc>
          <w:tcPr>
            <w:tcW w:w="860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2027</w:t>
            </w:r>
          </w:p>
        </w:tc>
        <w:tc>
          <w:tcPr>
            <w:tcW w:w="4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16,622</w:t>
            </w:r>
          </w:p>
        </w:tc>
      </w:tr>
      <w:tr>
        <w:trPr>
          <w:trHeight w:val="275"/>
        </w:trPr>
        <w:tc>
          <w:tcPr>
            <w:tcW w:w="8600" w:type="dxa"/>
            <w:vAlign w:val="bottom"/>
          </w:tcPr>
          <w:p>
            <w:pPr>
              <w:ind w:left="60"/>
              <w:spacing w:after="0"/>
              <w:rPr>
                <w:sz w:val="20"/>
                <w:szCs w:val="20"/>
                <w:color w:val="auto"/>
              </w:rPr>
            </w:pPr>
            <w:r>
              <w:rPr>
                <w:rFonts w:ascii="Arial" w:cs="Arial" w:eastAsia="Arial" w:hAnsi="Arial"/>
                <w:sz w:val="20"/>
                <w:szCs w:val="20"/>
                <w:color w:val="auto"/>
              </w:rPr>
              <w:t>2028</w:t>
            </w: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11,720</w:t>
            </w:r>
          </w:p>
        </w:tc>
      </w:tr>
      <w:tr>
        <w:trPr>
          <w:trHeight w:val="287"/>
        </w:trPr>
        <w:tc>
          <w:tcPr>
            <w:tcW w:w="860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2029</w:t>
            </w:r>
          </w:p>
        </w:tc>
        <w:tc>
          <w:tcPr>
            <w:tcW w:w="4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4,692</w:t>
            </w:r>
          </w:p>
        </w:tc>
      </w:tr>
      <w:tr>
        <w:trPr>
          <w:trHeight w:val="271"/>
        </w:trPr>
        <w:tc>
          <w:tcPr>
            <w:tcW w:w="860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Thereafter</w:t>
            </w:r>
          </w:p>
        </w:tc>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14,074</w:t>
            </w:r>
          </w:p>
        </w:tc>
      </w:tr>
      <w:tr>
        <w:trPr>
          <w:trHeight w:val="271"/>
        </w:trPr>
        <w:tc>
          <w:tcPr>
            <w:tcW w:w="8600" w:type="dxa"/>
            <w:vAlign w:val="bottom"/>
            <w:shd w:val="clear" w:color="auto" w:fill="E6E6E6"/>
          </w:tcPr>
          <w:p>
            <w:pPr>
              <w:ind w:left="60"/>
              <w:spacing w:after="0"/>
              <w:rPr>
                <w:sz w:val="20"/>
                <w:szCs w:val="20"/>
                <w:color w:val="auto"/>
              </w:rPr>
            </w:pPr>
            <w:r>
              <w:rPr>
                <w:rFonts w:ascii="Arial" w:cs="Arial" w:eastAsia="Arial" w:hAnsi="Arial"/>
                <w:sz w:val="20"/>
                <w:szCs w:val="20"/>
                <w:color w:val="auto"/>
              </w:rPr>
              <w:t>Undiscounted self-insurance liabilities</w:t>
            </w:r>
          </w:p>
        </w:tc>
        <w:tc>
          <w:tcPr>
            <w:tcW w:w="480" w:type="dxa"/>
            <w:vAlign w:val="bottom"/>
            <w:shd w:val="clear" w:color="auto" w:fill="E6E6E6"/>
          </w:tcPr>
          <w:p>
            <w:pPr>
              <w:spacing w:after="0"/>
              <w:rPr>
                <w:sz w:val="23"/>
                <w:szCs w:val="23"/>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94,046</w:t>
            </w:r>
          </w:p>
        </w:tc>
      </w:tr>
      <w:tr>
        <w:trPr>
          <w:trHeight w:val="271"/>
        </w:trPr>
        <w:tc>
          <w:tcPr>
            <w:tcW w:w="860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Less: Discount</w:t>
            </w:r>
          </w:p>
        </w:tc>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(10,374)</w:t>
            </w:r>
          </w:p>
        </w:tc>
      </w:tr>
      <w:tr>
        <w:trPr>
          <w:trHeight w:val="280"/>
        </w:trPr>
        <w:tc>
          <w:tcPr>
            <w:tcW w:w="86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Total self-insurance liabilities (included in accrued expenses and other current liabilities)</w:t>
            </w:r>
          </w:p>
        </w:tc>
        <w:tc>
          <w:tcPr>
            <w:tcW w:w="480" w:type="dxa"/>
            <w:vAlign w:val="bottom"/>
            <w:tcBorders>
              <w:bottom w:val="single" w:sz="8" w:color="auto"/>
            </w:tcBorders>
            <w:shd w:val="clear" w:color="auto" w:fill="E6E6E6"/>
          </w:tcPr>
          <w:p>
            <w:pPr>
              <w:jc w:val="right"/>
              <w:ind w:right="242"/>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83,672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5457825</wp:posOffset>
            </wp:positionH>
            <wp:positionV relativeFrom="paragraph">
              <wp:posOffset>-40640</wp:posOffset>
            </wp:positionV>
            <wp:extent cx="986155" cy="450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3">
                      <a:extLst>
                        <a:ext uri="{28A0092B-C50C-407E-A947-70E740481C1C}"/>
                      </a:extLst>
                    </a:blip>
                    <a:srcRect/>
                    <a:stretch>
                      <a:fillRect/>
                    </a:stretch>
                  </pic:blipFill>
                  <pic:spPr bwMode="auto">
                    <a:xfrm>
                      <a:off x="0" y="0"/>
                      <a:ext cx="986155" cy="4508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(19) LEASES</w:t>
      </w:r>
    </w:p>
    <w:p>
      <w:pPr>
        <w:spacing w:after="0" w:line="171" w:lineRule="exact"/>
        <w:rPr>
          <w:sz w:val="20"/>
          <w:szCs w:val="20"/>
          <w:color w:val="auto"/>
        </w:rPr>
      </w:pPr>
    </w:p>
    <w:p>
      <w:pPr>
        <w:ind w:left="20" w:right="480" w:firstLine="709"/>
        <w:spacing w:after="0" w:line="340" w:lineRule="auto"/>
        <w:rPr>
          <w:sz w:val="20"/>
          <w:szCs w:val="20"/>
          <w:color w:val="auto"/>
        </w:rPr>
      </w:pPr>
      <w:r>
        <w:rPr>
          <w:rFonts w:ascii="Arial" w:cs="Arial" w:eastAsia="Arial" w:hAnsi="Arial"/>
          <w:sz w:val="16"/>
          <w:szCs w:val="16"/>
          <w:color w:val="auto"/>
        </w:rPr>
        <w:t>The Company’s lease portfolio is predominately operating leases for real estate, vehicles and industrial equipment utilized in operations and rail cars. The Company presents operating lease balances separately on the consolidated balance sheets. The Company's finance leases relate to vehicles, rail cars and certain real estate. The following table presents the Company's finance lease balances and their classification on the consolidated balance sheets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Finance Lease Balances (Classification)</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December 31, 2024</w:t>
            </w:r>
          </w:p>
        </w:tc>
        <w:tc>
          <w:tcPr>
            <w:tcW w:w="80" w:type="dxa"/>
            <w:vAlign w:val="bottom"/>
            <w:tcBorders>
              <w:bottom w:val="single" w:sz="8" w:color="E6E6E6"/>
            </w:tcBorders>
            <w:gridSpan w:val="3"/>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E6E6E6"/>
          </w:tcPr>
          <w:p>
            <w:pPr>
              <w:spacing w:after="0"/>
              <w:rPr>
                <w:sz w:val="23"/>
                <w:szCs w:val="23"/>
                <w:color w:val="auto"/>
              </w:rPr>
            </w:pPr>
          </w:p>
        </w:tc>
        <w:tc>
          <w:tcPr>
            <w:tcW w:w="5060" w:type="dxa"/>
            <w:vAlign w:val="bottom"/>
            <w:shd w:val="clear" w:color="auto" w:fill="E6E6E6"/>
          </w:tcPr>
          <w:p>
            <w:pPr>
              <w:ind w:left="20"/>
              <w:spacing w:after="0"/>
              <w:rPr>
                <w:sz w:val="20"/>
                <w:szCs w:val="20"/>
                <w:color w:val="auto"/>
              </w:rPr>
            </w:pPr>
            <w:r>
              <w:rPr>
                <w:rFonts w:ascii="Arial" w:cs="Arial" w:eastAsia="Arial" w:hAnsi="Arial"/>
                <w:sz w:val="20"/>
                <w:szCs w:val="20"/>
                <w:color w:val="auto"/>
              </w:rPr>
              <w:t>ROU assets (Property, plant and equipment, net)</w:t>
            </w:r>
          </w:p>
        </w:tc>
        <w:tc>
          <w:tcPr>
            <w:tcW w:w="560" w:type="dxa"/>
            <w:vAlign w:val="bottom"/>
            <w:shd w:val="clear" w:color="auto" w:fill="E6E6E6"/>
          </w:tcPr>
          <w:p>
            <w:pPr>
              <w:spacing w:after="0"/>
              <w:rPr>
                <w:sz w:val="23"/>
                <w:szCs w:val="23"/>
                <w:color w:val="auto"/>
              </w:rPr>
            </w:pPr>
          </w:p>
        </w:tc>
        <w:tc>
          <w:tcPr>
            <w:tcW w:w="10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60" w:type="dxa"/>
            <w:vAlign w:val="bottom"/>
            <w:gridSpan w:val="4"/>
            <w:shd w:val="clear" w:color="auto" w:fill="E6E6E6"/>
          </w:tcPr>
          <w:p>
            <w:pPr>
              <w:jc w:val="right"/>
              <w:ind w:right="151"/>
              <w:spacing w:after="0"/>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182,532</w:t>
            </w: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500" w:type="dxa"/>
            <w:vAlign w:val="bottom"/>
            <w:gridSpan w:val="2"/>
            <w:shd w:val="clear" w:color="auto" w:fill="E6E6E6"/>
          </w:tcPr>
          <w:p>
            <w:pPr>
              <w:jc w:val="right"/>
              <w:ind w:right="251"/>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126,292</w:t>
            </w:r>
          </w:p>
        </w:tc>
        <w:tc>
          <w:tcPr>
            <w:tcW w:w="60" w:type="dxa"/>
            <w:vAlign w:val="bottom"/>
            <w:tcBorders>
              <w:left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gridSpan w:val="4"/>
          </w:tcPr>
          <w:p>
            <w:pPr>
              <w:ind w:left="20"/>
              <w:spacing w:after="0"/>
              <w:rPr>
                <w:sz w:val="20"/>
                <w:szCs w:val="20"/>
                <w:color w:val="auto"/>
              </w:rPr>
            </w:pPr>
            <w:r>
              <w:rPr>
                <w:rFonts w:ascii="Arial" w:cs="Arial" w:eastAsia="Arial" w:hAnsi="Arial"/>
                <w:sz w:val="20"/>
                <w:szCs w:val="20"/>
                <w:color w:val="auto"/>
                <w:w w:val="93"/>
              </w:rPr>
              <w:t>Current portion of lease liabilities (Accrued expenses and other current liabilities)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25,330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16,975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0" w:type="dxa"/>
            <w:vAlign w:val="bottom"/>
            <w:shd w:val="clear" w:color="auto" w:fill="E6E6E6"/>
          </w:tcPr>
          <w:p>
            <w:pPr>
              <w:spacing w:after="0"/>
              <w:rPr>
                <w:sz w:val="24"/>
                <w:szCs w:val="24"/>
                <w:color w:val="auto"/>
              </w:rPr>
            </w:pPr>
          </w:p>
        </w:tc>
        <w:tc>
          <w:tcPr>
            <w:tcW w:w="5620" w:type="dxa"/>
            <w:vAlign w:val="bottom"/>
            <w:gridSpan w:val="2"/>
            <w:shd w:val="clear" w:color="auto" w:fill="E6E6E6"/>
          </w:tcPr>
          <w:p>
            <w:pPr>
              <w:ind w:left="20"/>
              <w:spacing w:after="0"/>
              <w:rPr>
                <w:sz w:val="20"/>
                <w:szCs w:val="20"/>
                <w:color w:val="auto"/>
              </w:rPr>
            </w:pPr>
            <w:r>
              <w:rPr>
                <w:rFonts w:ascii="Arial" w:cs="Arial" w:eastAsia="Arial" w:hAnsi="Arial"/>
                <w:sz w:val="20"/>
                <w:szCs w:val="20"/>
                <w:color w:val="auto"/>
              </w:rPr>
              <w:t>Long-term portion of lease liabilities (Other long-term liabilities)</w:t>
            </w:r>
          </w:p>
        </w:tc>
        <w:tc>
          <w:tcPr>
            <w:tcW w:w="10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161,375</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113,486</w:t>
            </w:r>
          </w:p>
        </w:tc>
        <w:tc>
          <w:tcPr>
            <w:tcW w:w="60" w:type="dxa"/>
            <w:vAlign w:val="bottom"/>
            <w:tcBorders>
              <w:left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20" w:type="dxa"/>
            <w:vAlign w:val="bottom"/>
            <w:gridSpan w:val="2"/>
          </w:tcPr>
          <w:p>
            <w:pPr>
              <w:ind w:left="720"/>
              <w:spacing w:after="0"/>
              <w:rPr>
                <w:sz w:val="20"/>
                <w:szCs w:val="20"/>
                <w:color w:val="auto"/>
              </w:rPr>
            </w:pPr>
            <w:r>
              <w:rPr>
                <w:rFonts w:ascii="Arial" w:cs="Arial" w:eastAsia="Arial" w:hAnsi="Arial"/>
                <w:sz w:val="20"/>
                <w:szCs w:val="20"/>
                <w:color w:val="auto"/>
                <w:w w:val="89"/>
              </w:rPr>
              <w:t>The Company’s lease expense was as follows (in thousands):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2"/>
          </w:tcPr>
          <w:p>
            <w:pPr>
              <w:jc w:val="center"/>
              <w:ind w:left="464"/>
              <w:spacing w:after="0"/>
              <w:rPr>
                <w:sz w:val="20"/>
                <w:szCs w:val="20"/>
                <w:color w:val="auto"/>
              </w:rPr>
            </w:pPr>
            <w:r>
              <w:rPr>
                <w:rFonts w:ascii="Arial" w:cs="Arial" w:eastAsia="Arial" w:hAnsi="Arial"/>
                <w:sz w:val="18"/>
                <w:szCs w:val="18"/>
                <w:b w:val="1"/>
                <w:bCs w:val="1"/>
                <w:color w:val="auto"/>
                <w:w w:val="88"/>
              </w:rPr>
              <w:t>For the years ended December 31,</w:t>
            </w: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60" w:type="dxa"/>
            <w:vAlign w:val="bottom"/>
            <w:tcBorders>
              <w:bottom w:val="single" w:sz="8" w:color="E6E6E6"/>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44"/>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E6E6E6"/>
            </w:tcBorders>
          </w:tcPr>
          <w:p>
            <w:pPr>
              <w:spacing w:after="0"/>
              <w:rPr>
                <w:sz w:val="20"/>
                <w:szCs w:val="20"/>
                <w:color w:val="auto"/>
              </w:rPr>
            </w:pPr>
          </w:p>
        </w:tc>
        <w:tc>
          <w:tcPr>
            <w:tcW w:w="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2"/>
              <w:spacing w:after="0"/>
              <w:rPr>
                <w:sz w:val="20"/>
                <w:szCs w:val="20"/>
                <w:color w:val="auto"/>
              </w:rPr>
            </w:pPr>
            <w:r>
              <w:rPr>
                <w:rFonts w:ascii="Arial" w:cs="Arial" w:eastAsia="Arial" w:hAnsi="Arial"/>
                <w:sz w:val="18"/>
                <w:szCs w:val="18"/>
                <w:b w:val="1"/>
                <w:bCs w:val="1"/>
                <w:color w:val="auto"/>
                <w:w w:val="89"/>
              </w:rPr>
              <w:t>2023</w:t>
            </w:r>
          </w:p>
        </w:tc>
        <w:tc>
          <w:tcPr>
            <w:tcW w:w="4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42"/>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Operating lease cost</w:t>
            </w:r>
          </w:p>
        </w:tc>
        <w:tc>
          <w:tcPr>
            <w:tcW w:w="560" w:type="dxa"/>
            <w:vAlign w:val="bottom"/>
            <w:shd w:val="clear" w:color="auto" w:fill="E6E6E6"/>
          </w:tcPr>
          <w:p>
            <w:pPr>
              <w:jc w:val="right"/>
              <w:ind w:right="302"/>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81,688</w:t>
            </w:r>
          </w:p>
        </w:tc>
        <w:tc>
          <w:tcPr>
            <w:tcW w:w="20" w:type="dxa"/>
            <w:vAlign w:val="bottom"/>
            <w:shd w:val="clear" w:color="auto" w:fill="E6E6E6"/>
          </w:tcPr>
          <w:p>
            <w:pPr>
              <w:spacing w:after="0"/>
              <w:rPr>
                <w:sz w:val="23"/>
                <w:szCs w:val="23"/>
                <w:color w:val="auto"/>
              </w:rPr>
            </w:pPr>
          </w:p>
        </w:tc>
        <w:tc>
          <w:tcPr>
            <w:tcW w:w="460" w:type="dxa"/>
            <w:vAlign w:val="bottom"/>
            <w:gridSpan w:val="4"/>
            <w:shd w:val="clear" w:color="auto" w:fill="E6E6E6"/>
          </w:tcPr>
          <w:p>
            <w:pPr>
              <w:jc w:val="right"/>
              <w:ind w:right="171"/>
              <w:spacing w:after="0"/>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69,156</w:t>
            </w: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500" w:type="dxa"/>
            <w:vAlign w:val="bottom"/>
            <w:gridSpan w:val="2"/>
            <w:shd w:val="clear" w:color="auto" w:fill="E6E6E6"/>
          </w:tcPr>
          <w:p>
            <w:pPr>
              <w:jc w:val="right"/>
              <w:ind w:right="29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59,041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60" w:type="dxa"/>
            <w:vAlign w:val="bottom"/>
          </w:tcPr>
          <w:p>
            <w:pPr>
              <w:ind w:left="60"/>
              <w:spacing w:after="0"/>
              <w:rPr>
                <w:sz w:val="20"/>
                <w:szCs w:val="20"/>
                <w:color w:val="auto"/>
              </w:rPr>
            </w:pPr>
            <w:r>
              <w:rPr>
                <w:rFonts w:ascii="Arial" w:cs="Arial" w:eastAsia="Arial" w:hAnsi="Arial"/>
                <w:sz w:val="20"/>
                <w:szCs w:val="20"/>
                <w:color w:val="auto"/>
              </w:rPr>
              <w:t>Finance lease cost:</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5060" w:type="dxa"/>
            <w:vAlign w:val="bottom"/>
            <w:shd w:val="clear" w:color="auto" w:fill="E6E6E6"/>
          </w:tcPr>
          <w:p>
            <w:pPr>
              <w:ind w:left="280"/>
              <w:spacing w:after="0"/>
              <w:rPr>
                <w:sz w:val="20"/>
                <w:szCs w:val="20"/>
                <w:color w:val="auto"/>
              </w:rPr>
            </w:pPr>
            <w:r>
              <w:rPr>
                <w:rFonts w:ascii="Arial" w:cs="Arial" w:eastAsia="Arial" w:hAnsi="Arial"/>
                <w:sz w:val="20"/>
                <w:szCs w:val="20"/>
                <w:color w:val="auto"/>
              </w:rPr>
              <w:t>Amortization of ROU assets</w:t>
            </w:r>
          </w:p>
        </w:tc>
        <w:tc>
          <w:tcPr>
            <w:tcW w:w="5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25,985</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17,183</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13,239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060" w:type="dxa"/>
            <w:vAlign w:val="bottom"/>
            <w:tcBorders>
              <w:bottom w:val="single" w:sz="8" w:color="E6E6E6"/>
            </w:tcBorders>
          </w:tcPr>
          <w:p>
            <w:pPr>
              <w:ind w:left="280"/>
              <w:spacing w:after="0"/>
              <w:rPr>
                <w:sz w:val="20"/>
                <w:szCs w:val="20"/>
                <w:color w:val="auto"/>
              </w:rPr>
            </w:pPr>
            <w:r>
              <w:rPr>
                <w:rFonts w:ascii="Arial" w:cs="Arial" w:eastAsia="Arial" w:hAnsi="Arial"/>
                <w:sz w:val="20"/>
                <w:szCs w:val="20"/>
                <w:color w:val="auto"/>
              </w:rPr>
              <w:t>Interest on lease liabilities</w:t>
            </w:r>
          </w:p>
        </w:tc>
        <w:tc>
          <w:tcPr>
            <w:tcW w:w="5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7,066</w:t>
            </w:r>
          </w:p>
        </w:tc>
        <w:tc>
          <w:tcPr>
            <w:tcW w:w="20" w:type="dxa"/>
            <w:vAlign w:val="bottom"/>
            <w:tcBorders>
              <w:bottom w:val="single" w:sz="8" w:color="E6E6E6"/>
            </w:tcBorders>
          </w:tcPr>
          <w:p>
            <w:pPr>
              <w:spacing w:after="0"/>
              <w:rPr>
                <w:sz w:val="23"/>
                <w:szCs w:val="23"/>
                <w:color w:val="auto"/>
              </w:rPr>
            </w:pPr>
          </w:p>
        </w:tc>
        <w:tc>
          <w:tcPr>
            <w:tcW w:w="4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4,051</w:t>
            </w:r>
          </w:p>
        </w:tc>
        <w:tc>
          <w:tcPr>
            <w:tcW w:w="4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3,011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506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20"/>
                <w:szCs w:val="20"/>
                <w:color w:val="auto"/>
              </w:rPr>
              <w:t>Total finance lease cost</w:t>
            </w:r>
          </w:p>
        </w:tc>
        <w:tc>
          <w:tcPr>
            <w:tcW w:w="5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33,051</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21,234</w:t>
            </w: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16,250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060" w:type="dxa"/>
            <w:vAlign w:val="bottom"/>
          </w:tcPr>
          <w:p>
            <w:pPr>
              <w:ind w:left="60"/>
              <w:spacing w:after="0"/>
              <w:rPr>
                <w:sz w:val="20"/>
                <w:szCs w:val="20"/>
                <w:color w:val="auto"/>
              </w:rPr>
            </w:pPr>
            <w:r>
              <w:rPr>
                <w:rFonts w:ascii="Arial" w:cs="Arial" w:eastAsia="Arial" w:hAnsi="Arial"/>
                <w:sz w:val="20"/>
                <w:szCs w:val="20"/>
                <w:color w:val="auto"/>
              </w:rPr>
              <w:t>Short-term lease cost</w:t>
            </w: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199,516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167,379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158,736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5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Variable lease cost</w:t>
            </w:r>
          </w:p>
        </w:tc>
        <w:tc>
          <w:tcPr>
            <w:tcW w:w="5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5,187</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4,887</w:t>
            </w: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auto"/>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4,353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420"/>
              <w:spacing w:after="0" w:line="222" w:lineRule="exact"/>
              <w:rPr>
                <w:sz w:val="20"/>
                <w:szCs w:val="20"/>
                <w:color w:val="auto"/>
              </w:rPr>
            </w:pPr>
            <w:r>
              <w:rPr>
                <w:rFonts w:ascii="Arial" w:cs="Arial" w:eastAsia="Arial" w:hAnsi="Arial"/>
                <w:sz w:val="20"/>
                <w:szCs w:val="20"/>
                <w:color w:val="auto"/>
              </w:rPr>
              <w:t>Total lease cost</w:t>
            </w:r>
          </w:p>
        </w:tc>
        <w:tc>
          <w:tcPr>
            <w:tcW w:w="560" w:type="dxa"/>
            <w:vAlign w:val="bottom"/>
          </w:tcPr>
          <w:p>
            <w:pPr>
              <w:jc w:val="right"/>
              <w:ind w:right="302"/>
              <w:spacing w:after="0" w:line="222"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22" w:lineRule="exact"/>
              <w:rPr>
                <w:sz w:val="20"/>
                <w:szCs w:val="20"/>
                <w:color w:val="auto"/>
              </w:rPr>
            </w:pPr>
            <w:r>
              <w:rPr>
                <w:rFonts w:ascii="Arial" w:cs="Arial" w:eastAsia="Arial" w:hAnsi="Arial"/>
                <w:sz w:val="20"/>
                <w:szCs w:val="20"/>
                <w:color w:val="auto"/>
              </w:rPr>
              <w:t>319,442</w:t>
            </w:r>
          </w:p>
        </w:tc>
        <w:tc>
          <w:tcPr>
            <w:tcW w:w="20" w:type="dxa"/>
            <w:vAlign w:val="bottom"/>
          </w:tcPr>
          <w:p>
            <w:pPr>
              <w:spacing w:after="0"/>
              <w:rPr>
                <w:sz w:val="19"/>
                <w:szCs w:val="19"/>
                <w:color w:val="auto"/>
              </w:rPr>
            </w:pPr>
          </w:p>
        </w:tc>
        <w:tc>
          <w:tcPr>
            <w:tcW w:w="460" w:type="dxa"/>
            <w:vAlign w:val="bottom"/>
            <w:gridSpan w:val="4"/>
          </w:tcPr>
          <w:p>
            <w:pPr>
              <w:jc w:val="right"/>
              <w:ind w:right="171"/>
              <w:spacing w:after="0" w:line="222" w:lineRule="exact"/>
              <w:rPr>
                <w:sz w:val="20"/>
                <w:szCs w:val="20"/>
                <w:color w:val="auto"/>
              </w:rPr>
            </w:pPr>
            <w:r>
              <w:rPr>
                <w:rFonts w:ascii="Arial" w:cs="Arial" w:eastAsia="Arial" w:hAnsi="Arial"/>
                <w:sz w:val="20"/>
                <w:szCs w:val="20"/>
                <w:color w:val="auto"/>
              </w:rPr>
              <w:t>$</w:t>
            </w:r>
          </w:p>
        </w:tc>
        <w:tc>
          <w:tcPr>
            <w:tcW w:w="1240" w:type="dxa"/>
            <w:vAlign w:val="bottom"/>
          </w:tcPr>
          <w:p>
            <w:pPr>
              <w:jc w:val="right"/>
              <w:spacing w:after="0" w:line="222" w:lineRule="exact"/>
              <w:rPr>
                <w:sz w:val="20"/>
                <w:szCs w:val="20"/>
                <w:color w:val="auto"/>
              </w:rPr>
            </w:pPr>
            <w:r>
              <w:rPr>
                <w:rFonts w:ascii="Arial" w:cs="Arial" w:eastAsia="Arial" w:hAnsi="Arial"/>
                <w:sz w:val="20"/>
                <w:szCs w:val="20"/>
                <w:color w:val="auto"/>
              </w:rPr>
              <w:t>262,656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right"/>
              <w:ind w:right="291"/>
              <w:spacing w:after="0" w:line="222" w:lineRule="exact"/>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line="222" w:lineRule="exact"/>
              <w:rPr>
                <w:sz w:val="20"/>
                <w:szCs w:val="20"/>
                <w:color w:val="auto"/>
              </w:rPr>
            </w:pPr>
            <w:r>
              <w:rPr>
                <w:rFonts w:ascii="Arial" w:cs="Arial" w:eastAsia="Arial" w:hAnsi="Arial"/>
                <w:sz w:val="20"/>
                <w:szCs w:val="20"/>
                <w:color w:val="auto"/>
              </w:rPr>
              <w:t>238,380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720"/>
              <w:spacing w:after="0"/>
              <w:rPr>
                <w:sz w:val="20"/>
                <w:szCs w:val="20"/>
                <w:color w:val="auto"/>
              </w:rPr>
            </w:pPr>
            <w:r>
              <w:rPr>
                <w:rFonts w:ascii="Arial" w:cs="Arial" w:eastAsia="Arial" w:hAnsi="Arial"/>
                <w:sz w:val="20"/>
                <w:szCs w:val="20"/>
                <w:color w:val="auto"/>
                <w:w w:val="96"/>
              </w:rPr>
              <w:t>Other information related to leases was as follows: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Arial" w:cs="Arial" w:eastAsia="Arial" w:hAnsi="Arial"/>
                <w:sz w:val="18"/>
                <w:szCs w:val="18"/>
                <w:b w:val="1"/>
                <w:bCs w:val="1"/>
                <w:color w:val="auto"/>
              </w:rPr>
              <w:t>Weighted Average Remaining Lease Term (years)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5"/>
          </w:tcPr>
          <w:p>
            <w:pPr>
              <w:ind w:left="100"/>
              <w:spacing w:after="0"/>
              <w:rPr>
                <w:sz w:val="20"/>
                <w:szCs w:val="20"/>
                <w:color w:val="auto"/>
              </w:rPr>
            </w:pPr>
            <w:r>
              <w:rPr>
                <w:rFonts w:ascii="Arial" w:cs="Arial" w:eastAsia="Arial" w:hAnsi="Arial"/>
                <w:sz w:val="18"/>
                <w:szCs w:val="18"/>
                <w:b w:val="1"/>
                <w:bCs w:val="1"/>
                <w:color w:val="auto"/>
                <w:w w:val="96"/>
              </w:rPr>
              <w:t>December 31, 2024</w:t>
            </w:r>
          </w:p>
        </w:tc>
        <w:tc>
          <w:tcPr>
            <w:tcW w:w="40" w:type="dxa"/>
            <w:vAlign w:val="bottom"/>
          </w:tcPr>
          <w:p>
            <w:pPr>
              <w:spacing w:after="0"/>
              <w:rPr>
                <w:sz w:val="24"/>
                <w:szCs w:val="24"/>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 2023</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06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20"/>
                <w:szCs w:val="20"/>
                <w:color w:val="auto"/>
              </w:rPr>
              <w:t>Operating leases</w:t>
            </w:r>
          </w:p>
        </w:tc>
        <w:tc>
          <w:tcPr>
            <w:tcW w:w="560" w:type="dxa"/>
            <w:vAlign w:val="bottom"/>
            <w:tcBorders>
              <w:top w:val="single" w:sz="8" w:color="auto"/>
            </w:tcBorders>
            <w:shd w:val="clear" w:color="auto" w:fill="E6E6E6"/>
          </w:tcPr>
          <w:p>
            <w:pPr>
              <w:spacing w:after="0"/>
              <w:rPr>
                <w:sz w:val="23"/>
                <w:szCs w:val="23"/>
                <w:color w:val="auto"/>
              </w:rPr>
            </w:pPr>
          </w:p>
        </w:tc>
        <w:tc>
          <w:tcPr>
            <w:tcW w:w="1080" w:type="dxa"/>
            <w:vAlign w:val="bottom"/>
            <w:tcBorders>
              <w:top w:val="single" w:sz="8" w:color="auto"/>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40" w:type="dxa"/>
            <w:vAlign w:val="bottom"/>
            <w:tcBorders>
              <w:top w:val="single" w:sz="8" w:color="auto"/>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360" w:type="dxa"/>
            <w:vAlign w:val="bottom"/>
            <w:tcBorders>
              <w:top w:val="single" w:sz="8" w:color="auto"/>
            </w:tcBorders>
            <w:shd w:val="clear" w:color="auto" w:fill="E6E6E6"/>
          </w:tcPr>
          <w:p>
            <w:pPr>
              <w:spacing w:after="0"/>
              <w:rPr>
                <w:sz w:val="23"/>
                <w:szCs w:val="23"/>
                <w:color w:val="auto"/>
              </w:rPr>
            </w:pPr>
          </w:p>
        </w:tc>
        <w:tc>
          <w:tcPr>
            <w:tcW w:w="12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4.3</w:t>
            </w:r>
          </w:p>
        </w:tc>
        <w:tc>
          <w:tcPr>
            <w:tcW w:w="40" w:type="dxa"/>
            <w:vAlign w:val="bottom"/>
            <w:tcBorders>
              <w:top w:val="single" w:sz="8" w:color="auto"/>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460" w:type="dxa"/>
            <w:vAlign w:val="bottom"/>
            <w:tcBorders>
              <w:top w:val="single" w:sz="8" w:color="auto"/>
            </w:tcBorders>
            <w:shd w:val="clear" w:color="auto" w:fill="E6E6E6"/>
          </w:tcPr>
          <w:p>
            <w:pPr>
              <w:spacing w:after="0"/>
              <w:rPr>
                <w:sz w:val="23"/>
                <w:szCs w:val="23"/>
                <w:color w:val="auto"/>
              </w:rPr>
            </w:pP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w:t>
            </w:r>
          </w:p>
        </w:tc>
        <w:tc>
          <w:tcPr>
            <w:tcW w:w="60" w:type="dxa"/>
            <w:vAlign w:val="bottom"/>
            <w:tcBorders>
              <w:top w:val="single" w:sz="8" w:color="auto"/>
              <w:left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060" w:type="dxa"/>
            <w:vAlign w:val="bottom"/>
          </w:tcPr>
          <w:p>
            <w:pPr>
              <w:ind w:left="60"/>
              <w:spacing w:after="0"/>
              <w:rPr>
                <w:sz w:val="20"/>
                <w:szCs w:val="20"/>
                <w:color w:val="auto"/>
              </w:rPr>
            </w:pPr>
            <w:r>
              <w:rPr>
                <w:rFonts w:ascii="Arial" w:cs="Arial" w:eastAsia="Arial" w:hAnsi="Arial"/>
                <w:sz w:val="20"/>
                <w:szCs w:val="20"/>
                <w:color w:val="auto"/>
              </w:rPr>
              <w:t>Finance leases</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Arial" w:cs="Arial" w:eastAsia="Arial" w:hAnsi="Arial"/>
                <w:sz w:val="18"/>
                <w:szCs w:val="18"/>
                <w:b w:val="1"/>
                <w:bCs w:val="1"/>
                <w:color w:val="auto"/>
              </w:rPr>
              <w:t>Weighted Average Discount Rate</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5"/>
          </w:tcPr>
          <w:p>
            <w:pPr>
              <w:ind w:left="100"/>
              <w:spacing w:after="0"/>
              <w:rPr>
                <w:sz w:val="20"/>
                <w:szCs w:val="20"/>
                <w:color w:val="auto"/>
              </w:rPr>
            </w:pPr>
            <w:r>
              <w:rPr>
                <w:rFonts w:ascii="Arial" w:cs="Arial" w:eastAsia="Arial" w:hAnsi="Arial"/>
                <w:sz w:val="18"/>
                <w:szCs w:val="18"/>
                <w:b w:val="1"/>
                <w:bCs w:val="1"/>
                <w:color w:val="auto"/>
                <w:w w:val="96"/>
              </w:rPr>
              <w:t>December 31, 2024</w:t>
            </w:r>
          </w:p>
        </w:tc>
        <w:tc>
          <w:tcPr>
            <w:tcW w:w="40" w:type="dxa"/>
            <w:vAlign w:val="bottom"/>
          </w:tcPr>
          <w:p>
            <w:pPr>
              <w:spacing w:after="0"/>
              <w:rPr>
                <w:sz w:val="24"/>
                <w:szCs w:val="24"/>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 2023</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06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20"/>
                <w:szCs w:val="20"/>
                <w:color w:val="auto"/>
              </w:rPr>
              <w:t>Operating leases</w:t>
            </w:r>
          </w:p>
        </w:tc>
        <w:tc>
          <w:tcPr>
            <w:tcW w:w="560" w:type="dxa"/>
            <w:vAlign w:val="bottom"/>
            <w:tcBorders>
              <w:top w:val="single" w:sz="8" w:color="auto"/>
            </w:tcBorders>
            <w:shd w:val="clear" w:color="auto" w:fill="E6E6E6"/>
          </w:tcPr>
          <w:p>
            <w:pPr>
              <w:spacing w:after="0"/>
              <w:rPr>
                <w:sz w:val="23"/>
                <w:szCs w:val="23"/>
                <w:color w:val="auto"/>
              </w:rPr>
            </w:pPr>
          </w:p>
        </w:tc>
        <w:tc>
          <w:tcPr>
            <w:tcW w:w="1080" w:type="dxa"/>
            <w:vAlign w:val="bottom"/>
            <w:tcBorders>
              <w:top w:val="single" w:sz="8" w:color="auto"/>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40" w:type="dxa"/>
            <w:vAlign w:val="bottom"/>
            <w:tcBorders>
              <w:top w:val="single" w:sz="8" w:color="auto"/>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360" w:type="dxa"/>
            <w:vAlign w:val="bottom"/>
            <w:tcBorders>
              <w:top w:val="single" w:sz="8" w:color="auto"/>
            </w:tcBorders>
            <w:shd w:val="clear" w:color="auto" w:fill="E6E6E6"/>
          </w:tcPr>
          <w:p>
            <w:pPr>
              <w:spacing w:after="0"/>
              <w:rPr>
                <w:sz w:val="23"/>
                <w:szCs w:val="23"/>
                <w:color w:val="auto"/>
              </w:rPr>
            </w:pPr>
          </w:p>
        </w:tc>
        <w:tc>
          <w:tcPr>
            <w:tcW w:w="1280" w:type="dxa"/>
            <w:vAlign w:val="bottom"/>
            <w:tcBorders>
              <w:top w:val="single" w:sz="8" w:color="auto"/>
            </w:tcBorders>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5.20 %</w:t>
            </w:r>
          </w:p>
        </w:tc>
        <w:tc>
          <w:tcPr>
            <w:tcW w:w="2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460" w:type="dxa"/>
            <w:vAlign w:val="bottom"/>
            <w:tcBorders>
              <w:top w:val="single" w:sz="8" w:color="auto"/>
            </w:tcBorders>
            <w:shd w:val="clear" w:color="auto" w:fill="E6E6E6"/>
          </w:tcPr>
          <w:p>
            <w:pPr>
              <w:spacing w:after="0"/>
              <w:rPr>
                <w:sz w:val="23"/>
                <w:szCs w:val="23"/>
                <w:color w:val="auto"/>
              </w:rPr>
            </w:pPr>
          </w:p>
        </w:tc>
        <w:tc>
          <w:tcPr>
            <w:tcW w:w="1180" w:type="dxa"/>
            <w:vAlign w:val="bottom"/>
            <w:tcBorders>
              <w:top w:val="single" w:sz="8" w:color="auto"/>
            </w:tcBorders>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4.68 %</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060" w:type="dxa"/>
            <w:vAlign w:val="bottom"/>
          </w:tcPr>
          <w:p>
            <w:pPr>
              <w:ind w:left="60"/>
              <w:spacing w:after="0"/>
              <w:rPr>
                <w:sz w:val="20"/>
                <w:szCs w:val="20"/>
                <w:color w:val="auto"/>
              </w:rPr>
            </w:pPr>
            <w:r>
              <w:rPr>
                <w:rFonts w:ascii="Arial" w:cs="Arial" w:eastAsia="Arial" w:hAnsi="Arial"/>
                <w:sz w:val="20"/>
                <w:szCs w:val="20"/>
                <w:color w:val="auto"/>
              </w:rPr>
              <w:t>Finance leases</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4.84 %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3.96 %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-1600200</wp:posOffset>
            </wp:positionV>
            <wp:extent cx="3228975" cy="450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4">
                      <a:extLst>
                        <a:ext uri="{28A0092B-C50C-407E-A947-70E740481C1C}"/>
                      </a:extLst>
                    </a:blip>
                    <a:srcRect/>
                    <a:stretch>
                      <a:fillRect/>
                    </a:stretch>
                  </pic:blipFill>
                  <pic:spPr bwMode="auto">
                    <a:xfrm>
                      <a:off x="0" y="0"/>
                      <a:ext cx="3228975" cy="45085"/>
                    </a:xfrm>
                    <a:prstGeom prst="rect">
                      <a:avLst/>
                    </a:prstGeom>
                    <a:noFill/>
                  </pic:spPr>
                </pic:pic>
              </a:graphicData>
            </a:graphic>
          </wp:anchor>
        </w:drawing>
      </w:r>
    </w:p>
    <w:p>
      <w:pPr>
        <w:sectPr>
          <w:pgSz w:w="11880" w:h="15480" w:orient="portrait"/>
          <w:cols w:equalWidth="0" w:num="1">
            <w:col w:w="10200"/>
          </w:cols>
          <w:pgMar w:left="860" w:top="33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89</w:t>
      </w:r>
    </w:p>
    <w:p>
      <w:pPr>
        <w:sectPr>
          <w:pgSz w:w="11880" w:h="15480" w:orient="portrait"/>
          <w:cols w:equalWidth="0" w:num="1">
            <w:col w:w="10200"/>
          </w:cols>
          <w:pgMar w:left="860" w:top="338" w:right="820" w:bottom="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For the years ended December 31,</w:t>
            </w:r>
          </w:p>
        </w:tc>
        <w:tc>
          <w:tcPr>
            <w:tcW w:w="940" w:type="dxa"/>
            <w:vAlign w:val="bottom"/>
            <w:tcBorders>
              <w:bottom w:val="single" w:sz="8" w:color="auto"/>
            </w:tcBorders>
          </w:tcPr>
          <w:p>
            <w:pPr>
              <w:spacing w:after="0"/>
              <w:rPr>
                <w:sz w:val="20"/>
                <w:szCs w:val="20"/>
                <w:color w:val="auto"/>
              </w:rPr>
            </w:pPr>
          </w:p>
        </w:tc>
      </w:tr>
      <w:tr>
        <w:trPr>
          <w:trHeight w:val="231"/>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Supplemental Cash Flow Related Disclosures (in thousands)</w:t>
            </w:r>
          </w:p>
        </w:tc>
        <w:tc>
          <w:tcPr>
            <w:tcW w:w="6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4"/>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E6E6E6"/>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8"/>
                <w:szCs w:val="18"/>
                <w:b w:val="1"/>
                <w:bCs w:val="1"/>
                <w:color w:val="auto"/>
                <w:w w:val="89"/>
              </w:rPr>
              <w:t>2022</w:t>
            </w:r>
          </w:p>
        </w:tc>
      </w:tr>
      <w:tr>
        <w:trPr>
          <w:trHeight w:val="271"/>
        </w:trPr>
        <w:tc>
          <w:tcPr>
            <w:tcW w:w="56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Cash paid for amounts related to lease liabilities:</w:t>
            </w:r>
          </w:p>
        </w:tc>
        <w:tc>
          <w:tcPr>
            <w:tcW w:w="360" w:type="dxa"/>
            <w:vAlign w:val="bottom"/>
            <w:shd w:val="clear" w:color="auto" w:fill="E6E6E6"/>
          </w:tcPr>
          <w:p>
            <w:pPr>
              <w:spacing w:after="0"/>
              <w:rPr>
                <w:sz w:val="23"/>
                <w:szCs w:val="23"/>
                <w:color w:val="auto"/>
              </w:rPr>
            </w:pPr>
          </w:p>
        </w:tc>
        <w:tc>
          <w:tcPr>
            <w:tcW w:w="11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60" w:type="dxa"/>
            <w:vAlign w:val="bottom"/>
            <w:shd w:val="clear" w:color="auto" w:fill="E6E6E6"/>
          </w:tcPr>
          <w:p>
            <w:pPr>
              <w:spacing w:after="0"/>
              <w:rPr>
                <w:sz w:val="23"/>
                <w:szCs w:val="23"/>
                <w:color w:val="auto"/>
              </w:rPr>
            </w:pPr>
          </w:p>
        </w:tc>
        <w:tc>
          <w:tcPr>
            <w:tcW w:w="11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520" w:type="dxa"/>
            <w:vAlign w:val="bottom"/>
            <w:shd w:val="clear" w:color="auto" w:fill="E6E6E6"/>
          </w:tcPr>
          <w:p>
            <w:pPr>
              <w:spacing w:after="0"/>
              <w:rPr>
                <w:sz w:val="23"/>
                <w:szCs w:val="23"/>
                <w:color w:val="auto"/>
              </w:rPr>
            </w:pPr>
          </w:p>
        </w:tc>
        <w:tc>
          <w:tcPr>
            <w:tcW w:w="940" w:type="dxa"/>
            <w:vAlign w:val="bottom"/>
            <w:shd w:val="clear" w:color="auto" w:fill="E6E6E6"/>
          </w:tcPr>
          <w:p>
            <w:pPr>
              <w:spacing w:after="0"/>
              <w:rPr>
                <w:sz w:val="23"/>
                <w:szCs w:val="23"/>
                <w:color w:val="auto"/>
              </w:rPr>
            </w:pPr>
          </w:p>
        </w:tc>
      </w:tr>
      <w:tr>
        <w:trPr>
          <w:trHeight w:val="275"/>
        </w:trPr>
        <w:tc>
          <w:tcPr>
            <w:tcW w:w="5620" w:type="dxa"/>
            <w:vAlign w:val="bottom"/>
            <w:gridSpan w:val="2"/>
          </w:tcPr>
          <w:p>
            <w:pPr>
              <w:ind w:left="180"/>
              <w:spacing w:after="0"/>
              <w:rPr>
                <w:sz w:val="20"/>
                <w:szCs w:val="20"/>
                <w:color w:val="auto"/>
              </w:rPr>
            </w:pPr>
            <w:r>
              <w:rPr>
                <w:rFonts w:ascii="Arial" w:cs="Arial" w:eastAsia="Arial" w:hAnsi="Arial"/>
                <w:sz w:val="20"/>
                <w:szCs w:val="20"/>
                <w:color w:val="auto"/>
              </w:rPr>
              <w:t>Operating cash flows from operating leases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84,932</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71,185</w:t>
            </w:r>
          </w:p>
        </w:tc>
        <w:tc>
          <w:tcPr>
            <w:tcW w:w="60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61,014</w:t>
            </w:r>
          </w:p>
        </w:tc>
      </w:tr>
      <w:tr>
        <w:trPr>
          <w:trHeight w:val="287"/>
        </w:trPr>
        <w:tc>
          <w:tcPr>
            <w:tcW w:w="562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Operating cash flows from finance leases</w:t>
            </w:r>
          </w:p>
        </w:tc>
        <w:tc>
          <w:tcPr>
            <w:tcW w:w="3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7,066</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4,051</w:t>
            </w:r>
          </w:p>
        </w:tc>
        <w:tc>
          <w:tcPr>
            <w:tcW w:w="8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3,011</w:t>
            </w:r>
          </w:p>
        </w:tc>
      </w:tr>
      <w:tr>
        <w:trPr>
          <w:trHeight w:val="275"/>
        </w:trPr>
        <w:tc>
          <w:tcPr>
            <w:tcW w:w="5620" w:type="dxa"/>
            <w:vAlign w:val="bottom"/>
            <w:gridSpan w:val="2"/>
          </w:tcPr>
          <w:p>
            <w:pPr>
              <w:ind w:left="180"/>
              <w:spacing w:after="0"/>
              <w:rPr>
                <w:sz w:val="20"/>
                <w:szCs w:val="20"/>
                <w:color w:val="auto"/>
              </w:rPr>
            </w:pPr>
            <w:r>
              <w:rPr>
                <w:rFonts w:ascii="Arial" w:cs="Arial" w:eastAsia="Arial" w:hAnsi="Arial"/>
                <w:sz w:val="20"/>
                <w:szCs w:val="20"/>
                <w:color w:val="auto"/>
              </w:rPr>
              <w:t>Financing cash flows from finance leases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30,886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15,937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12,821</w:t>
            </w:r>
          </w:p>
        </w:tc>
      </w:tr>
      <w:tr>
        <w:trPr>
          <w:trHeight w:val="287"/>
        </w:trPr>
        <w:tc>
          <w:tcPr>
            <w:tcW w:w="56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ROU assets obtained in exchange for operating lease liabilities</w:t>
            </w:r>
          </w:p>
        </w:tc>
        <w:tc>
          <w:tcPr>
            <w:tcW w:w="3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123,938</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82,392</w:t>
            </w:r>
          </w:p>
        </w:tc>
        <w:tc>
          <w:tcPr>
            <w:tcW w:w="8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58,230</w:t>
            </w:r>
          </w:p>
        </w:tc>
      </w:tr>
      <w:tr>
        <w:trPr>
          <w:trHeight w:val="269"/>
        </w:trPr>
        <w:tc>
          <w:tcPr>
            <w:tcW w:w="5620" w:type="dxa"/>
            <w:vAlign w:val="bottom"/>
            <w:gridSpan w:val="2"/>
          </w:tcPr>
          <w:p>
            <w:pPr>
              <w:ind w:left="40"/>
              <w:spacing w:after="0"/>
              <w:rPr>
                <w:sz w:val="20"/>
                <w:szCs w:val="20"/>
                <w:color w:val="auto"/>
              </w:rPr>
            </w:pPr>
            <w:r>
              <w:rPr>
                <w:rFonts w:ascii="Arial" w:cs="Arial" w:eastAsia="Arial" w:hAnsi="Arial"/>
                <w:sz w:val="20"/>
                <w:szCs w:val="20"/>
                <w:color w:val="auto"/>
              </w:rPr>
              <w:t>ROU assets obtained in exchange for finance lease liabilities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78,455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47,238</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29,205</w:t>
            </w:r>
          </w:p>
        </w:tc>
      </w:tr>
    </w:tbl>
    <w:p>
      <w:pPr>
        <w:spacing w:after="0" w:line="285" w:lineRule="exact"/>
        <w:rPr>
          <w:sz w:val="20"/>
          <w:szCs w:val="20"/>
          <w:color w:val="auto"/>
        </w:rPr>
      </w:pPr>
    </w:p>
    <w:p>
      <w:pPr>
        <w:jc w:val="both"/>
        <w:ind w:left="20" w:right="440" w:firstLine="709"/>
        <w:spacing w:after="0" w:line="276" w:lineRule="auto"/>
        <w:rPr>
          <w:sz w:val="20"/>
          <w:szCs w:val="20"/>
          <w:color w:val="auto"/>
        </w:rPr>
      </w:pPr>
      <w:r>
        <w:rPr>
          <w:rFonts w:ascii="Arial" w:cs="Arial" w:eastAsia="Arial" w:hAnsi="Arial"/>
          <w:sz w:val="20"/>
          <w:szCs w:val="20"/>
          <w:color w:val="auto"/>
        </w:rPr>
        <w:t>At December 31, 2024, the Company's future lease payments under non-cancelable leases that have lease terms in excess of one year were as follows (in thousands):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8"/>
                <w:szCs w:val="18"/>
                <w:b w:val="1"/>
                <w:bCs w:val="1"/>
                <w:color w:val="auto"/>
              </w:rPr>
              <w:t>December 31, 2024</w:t>
            </w:r>
          </w:p>
        </w:tc>
      </w:tr>
      <w:tr>
        <w:trPr>
          <w:trHeight w:val="218"/>
        </w:trPr>
        <w:tc>
          <w:tcPr>
            <w:tcW w:w="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tcPr>
          <w:p>
            <w:pPr>
              <w:spacing w:after="0"/>
              <w:rPr>
                <w:sz w:val="18"/>
                <w:szCs w:val="18"/>
                <w:color w:val="auto"/>
              </w:rPr>
            </w:pPr>
          </w:p>
        </w:tc>
        <w:tc>
          <w:tcPr>
            <w:tcW w:w="1480" w:type="dxa"/>
            <w:vAlign w:val="bottom"/>
          </w:tcPr>
          <w:p>
            <w:pPr>
              <w:jc w:val="right"/>
              <w:ind w:right="63"/>
              <w:spacing w:after="0"/>
              <w:rPr>
                <w:sz w:val="20"/>
                <w:szCs w:val="20"/>
                <w:color w:val="auto"/>
              </w:rPr>
            </w:pPr>
            <w:r>
              <w:rPr>
                <w:rFonts w:ascii="Arial" w:cs="Arial" w:eastAsia="Arial" w:hAnsi="Arial"/>
                <w:sz w:val="18"/>
                <w:szCs w:val="18"/>
                <w:b w:val="1"/>
                <w:bCs w:val="1"/>
                <w:color w:val="auto"/>
                <w:w w:val="86"/>
              </w:rPr>
              <w:t>Operating Leases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62"/>
              <w:spacing w:after="0"/>
              <w:rPr>
                <w:sz w:val="20"/>
                <w:szCs w:val="20"/>
                <w:color w:val="auto"/>
              </w:rPr>
            </w:pPr>
            <w:r>
              <w:rPr>
                <w:rFonts w:ascii="Arial" w:cs="Arial" w:eastAsia="Arial" w:hAnsi="Arial"/>
                <w:sz w:val="18"/>
                <w:szCs w:val="18"/>
                <w:b w:val="1"/>
                <w:bCs w:val="1"/>
                <w:color w:val="auto"/>
                <w:w w:val="86"/>
              </w:rPr>
              <w:t>Finance Leases</w:t>
            </w:r>
          </w:p>
        </w:tc>
      </w:tr>
      <w:tr>
        <w:trPr>
          <w:trHeight w:val="23"/>
        </w:trPr>
        <w:tc>
          <w:tcPr>
            <w:tcW w:w="60" w:type="dxa"/>
            <w:vAlign w:val="bottom"/>
            <w:tcBorders>
              <w:bottom w:val="single" w:sz="8" w:color="E6E6E6"/>
            </w:tcBorders>
          </w:tcPr>
          <w:p>
            <w:pPr>
              <w:spacing w:after="0"/>
              <w:rPr>
                <w:sz w:val="2"/>
                <w:szCs w:val="2"/>
                <w:color w:val="auto"/>
              </w:rPr>
            </w:pPr>
          </w:p>
        </w:tc>
        <w:tc>
          <w:tcPr>
            <w:tcW w:w="2080" w:type="dxa"/>
            <w:vAlign w:val="bottom"/>
            <w:tcBorders>
              <w:top w:val="single" w:sz="8" w:color="auto"/>
              <w:bottom w:val="single" w:sz="8" w:color="E6E6E6"/>
            </w:tcBorders>
          </w:tcPr>
          <w:p>
            <w:pPr>
              <w:spacing w:after="0"/>
              <w:rPr>
                <w:sz w:val="2"/>
                <w:szCs w:val="2"/>
                <w:color w:val="auto"/>
              </w:rPr>
            </w:pPr>
          </w:p>
        </w:tc>
        <w:tc>
          <w:tcPr>
            <w:tcW w:w="462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5"/>
        </w:trPr>
        <w:tc>
          <w:tcPr>
            <w:tcW w:w="214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2025</w:t>
            </w:r>
          </w:p>
        </w:tc>
        <w:tc>
          <w:tcPr>
            <w:tcW w:w="4620" w:type="dxa"/>
            <w:vAlign w:val="bottom"/>
            <w:shd w:val="clear" w:color="auto" w:fill="E6E6E6"/>
          </w:tcPr>
          <w:p>
            <w:pPr>
              <w:spacing w:after="0"/>
              <w:rPr>
                <w:sz w:val="24"/>
                <w:szCs w:val="24"/>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82,873</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36,230</w:t>
            </w:r>
          </w:p>
        </w:tc>
      </w:tr>
      <w:tr>
        <w:trPr>
          <w:trHeight w:val="275"/>
        </w:trPr>
        <w:tc>
          <w:tcPr>
            <w:tcW w:w="2140" w:type="dxa"/>
            <w:vAlign w:val="bottom"/>
            <w:gridSpan w:val="2"/>
          </w:tcPr>
          <w:p>
            <w:pPr>
              <w:ind w:left="60"/>
              <w:spacing w:after="0"/>
              <w:rPr>
                <w:sz w:val="20"/>
                <w:szCs w:val="20"/>
                <w:color w:val="auto"/>
              </w:rPr>
            </w:pPr>
            <w:r>
              <w:rPr>
                <w:rFonts w:ascii="Arial" w:cs="Arial" w:eastAsia="Arial" w:hAnsi="Arial"/>
                <w:sz w:val="20"/>
                <w:szCs w:val="20"/>
                <w:color w:val="auto"/>
              </w:rPr>
              <w:t>2026</w:t>
            </w:r>
          </w:p>
        </w:tc>
        <w:tc>
          <w:tcPr>
            <w:tcW w:w="4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66,702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35,228</w:t>
            </w:r>
          </w:p>
        </w:tc>
      </w:tr>
      <w:tr>
        <w:trPr>
          <w:trHeight w:val="287"/>
        </w:trPr>
        <w:tc>
          <w:tcPr>
            <w:tcW w:w="214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2027</w:t>
            </w:r>
          </w:p>
        </w:tc>
        <w:tc>
          <w:tcPr>
            <w:tcW w:w="46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54,242</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35,217</w:t>
            </w:r>
          </w:p>
        </w:tc>
      </w:tr>
      <w:tr>
        <w:trPr>
          <w:trHeight w:val="275"/>
        </w:trPr>
        <w:tc>
          <w:tcPr>
            <w:tcW w:w="2140" w:type="dxa"/>
            <w:vAlign w:val="bottom"/>
            <w:gridSpan w:val="2"/>
          </w:tcPr>
          <w:p>
            <w:pPr>
              <w:ind w:left="60"/>
              <w:spacing w:after="0"/>
              <w:rPr>
                <w:sz w:val="20"/>
                <w:szCs w:val="20"/>
                <w:color w:val="auto"/>
              </w:rPr>
            </w:pPr>
            <w:r>
              <w:rPr>
                <w:rFonts w:ascii="Arial" w:cs="Arial" w:eastAsia="Arial" w:hAnsi="Arial"/>
                <w:sz w:val="20"/>
                <w:szCs w:val="20"/>
                <w:color w:val="auto"/>
              </w:rPr>
              <w:t>2028</w:t>
            </w:r>
          </w:p>
        </w:tc>
        <w:tc>
          <w:tcPr>
            <w:tcW w:w="4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37,291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31,244</w:t>
            </w:r>
          </w:p>
        </w:tc>
      </w:tr>
      <w:tr>
        <w:trPr>
          <w:trHeight w:val="287"/>
        </w:trPr>
        <w:tc>
          <w:tcPr>
            <w:tcW w:w="214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2029</w:t>
            </w:r>
          </w:p>
        </w:tc>
        <w:tc>
          <w:tcPr>
            <w:tcW w:w="46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20,357</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27,084</w:t>
            </w:r>
          </w:p>
        </w:tc>
      </w:tr>
      <w:tr>
        <w:trPr>
          <w:trHeight w:val="271"/>
        </w:trPr>
        <w:tc>
          <w:tcPr>
            <w:tcW w:w="60" w:type="dxa"/>
            <w:vAlign w:val="bottom"/>
            <w:tcBorders>
              <w:bottom w:val="single" w:sz="8" w:color="E6E6E6"/>
            </w:tcBorders>
          </w:tcPr>
          <w:p>
            <w:pPr>
              <w:spacing w:after="0"/>
              <w:rPr>
                <w:sz w:val="23"/>
                <w:szCs w:val="23"/>
                <w:color w:val="auto"/>
              </w:rPr>
            </w:pPr>
          </w:p>
        </w:tc>
        <w:tc>
          <w:tcPr>
            <w:tcW w:w="6700" w:type="dxa"/>
            <w:vAlign w:val="bottom"/>
            <w:tcBorders>
              <w:bottom w:val="single" w:sz="8" w:color="E6E6E6"/>
            </w:tcBorders>
            <w:gridSpan w:val="2"/>
          </w:tcPr>
          <w:p>
            <w:pPr>
              <w:spacing w:after="0"/>
              <w:rPr>
                <w:sz w:val="20"/>
                <w:szCs w:val="20"/>
                <w:color w:val="auto"/>
              </w:rPr>
            </w:pPr>
            <w:r>
              <w:rPr>
                <w:rFonts w:ascii="Arial" w:cs="Arial" w:eastAsia="Arial" w:hAnsi="Arial"/>
                <w:sz w:val="20"/>
                <w:szCs w:val="20"/>
                <w:color w:val="auto"/>
              </w:rPr>
              <w:t>Thereafter</w:t>
            </w: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25,064</w:t>
            </w:r>
          </w:p>
        </w:tc>
        <w:tc>
          <w:tcPr>
            <w:tcW w:w="8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58,522</w:t>
            </w:r>
          </w:p>
        </w:tc>
      </w:tr>
      <w:tr>
        <w:trPr>
          <w:trHeight w:val="280"/>
        </w:trPr>
        <w:tc>
          <w:tcPr>
            <w:tcW w:w="60" w:type="dxa"/>
            <w:vAlign w:val="bottom"/>
            <w:tcBorders>
              <w:bottom w:val="single" w:sz="8" w:color="E6E6E6"/>
            </w:tcBorders>
            <w:shd w:val="clear" w:color="auto" w:fill="E6E6E6"/>
          </w:tcPr>
          <w:p>
            <w:pPr>
              <w:spacing w:after="0"/>
              <w:rPr>
                <w:sz w:val="24"/>
                <w:szCs w:val="24"/>
                <w:color w:val="auto"/>
              </w:rPr>
            </w:pPr>
          </w:p>
        </w:tc>
        <w:tc>
          <w:tcPr>
            <w:tcW w:w="670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20"/>
                <w:szCs w:val="20"/>
                <w:color w:val="auto"/>
              </w:rPr>
              <w:t>Total future lease payments</w:t>
            </w:r>
          </w:p>
        </w:tc>
        <w:tc>
          <w:tcPr>
            <w:tcW w:w="160" w:type="dxa"/>
            <w:vAlign w:val="bottom"/>
            <w:tcBorders>
              <w:bottom w:val="single" w:sz="8" w:color="auto"/>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286,529</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223,525</w:t>
            </w:r>
          </w:p>
        </w:tc>
      </w:tr>
      <w:tr>
        <w:trPr>
          <w:trHeight w:val="241"/>
        </w:trPr>
        <w:tc>
          <w:tcPr>
            <w:tcW w:w="60" w:type="dxa"/>
            <w:vAlign w:val="bottom"/>
            <w:tcBorders>
              <w:bottom w:val="single" w:sz="8" w:color="E6E6E6"/>
            </w:tcBorders>
          </w:tcPr>
          <w:p>
            <w:pPr>
              <w:spacing w:after="0"/>
              <w:rPr>
                <w:sz w:val="20"/>
                <w:szCs w:val="20"/>
                <w:color w:val="auto"/>
              </w:rPr>
            </w:pPr>
          </w:p>
        </w:tc>
        <w:tc>
          <w:tcPr>
            <w:tcW w:w="6700" w:type="dxa"/>
            <w:vAlign w:val="bottom"/>
            <w:tcBorders>
              <w:bottom w:val="single" w:sz="8" w:color="E6E6E6"/>
            </w:tcBorders>
            <w:gridSpan w:val="2"/>
          </w:tcPr>
          <w:p>
            <w:pPr>
              <w:spacing w:after="0"/>
              <w:rPr>
                <w:sz w:val="20"/>
                <w:szCs w:val="20"/>
                <w:color w:val="auto"/>
              </w:rPr>
            </w:pPr>
            <w:r>
              <w:rPr>
                <w:rFonts w:ascii="Arial" w:cs="Arial" w:eastAsia="Arial" w:hAnsi="Arial"/>
                <w:sz w:val="20"/>
                <w:szCs w:val="20"/>
                <w:color w:val="auto"/>
              </w:rPr>
              <w:t>Amount representing interest</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(31,983)</w:t>
            </w:r>
          </w:p>
        </w:tc>
        <w:tc>
          <w:tcPr>
            <w:tcW w:w="8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(36,820)</w:t>
            </w:r>
          </w:p>
        </w:tc>
      </w:tr>
      <w:tr>
        <w:trPr>
          <w:trHeight w:val="280"/>
        </w:trPr>
        <w:tc>
          <w:tcPr>
            <w:tcW w:w="60" w:type="dxa"/>
            <w:vAlign w:val="bottom"/>
            <w:tcBorders>
              <w:bottom w:val="single" w:sz="8" w:color="E6E6E6"/>
            </w:tcBorders>
            <w:shd w:val="clear" w:color="auto" w:fill="E6E6E6"/>
          </w:tcPr>
          <w:p>
            <w:pPr>
              <w:spacing w:after="0"/>
              <w:rPr>
                <w:sz w:val="24"/>
                <w:szCs w:val="24"/>
                <w:color w:val="auto"/>
              </w:rPr>
            </w:pPr>
          </w:p>
        </w:tc>
        <w:tc>
          <w:tcPr>
            <w:tcW w:w="670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20"/>
                <w:szCs w:val="20"/>
                <w:color w:val="auto"/>
              </w:rPr>
              <w:t>Total lease liabilities</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254,546</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186,705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-41910</wp:posOffset>
            </wp:positionV>
            <wp:extent cx="2152015" cy="476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5">
                      <a:extLst>
                        <a:ext uri="{28A0092B-C50C-407E-A947-70E740481C1C}"/>
                      </a:extLst>
                    </a:blip>
                    <a:srcRect/>
                    <a:stretch>
                      <a:fillRect/>
                    </a:stretch>
                  </pic:blipFill>
                  <pic:spPr bwMode="auto">
                    <a:xfrm>
                      <a:off x="0" y="0"/>
                      <a:ext cx="2152015" cy="47625"/>
                    </a:xfrm>
                    <a:prstGeom prst="rect">
                      <a:avLst/>
                    </a:prstGeom>
                    <a:noFill/>
                  </pic:spPr>
                </pic:pic>
              </a:graphicData>
            </a:graphic>
          </wp:anchor>
        </w:drawing>
      </w:r>
    </w:p>
    <w:p>
      <w:pPr>
        <w:spacing w:after="0" w:line="145" w:lineRule="exact"/>
        <w:rPr>
          <w:sz w:val="20"/>
          <w:szCs w:val="20"/>
          <w:color w:val="auto"/>
        </w:rPr>
      </w:pPr>
    </w:p>
    <w:p>
      <w:pPr>
        <w:jc w:val="both"/>
        <w:ind w:left="20" w:right="440" w:firstLine="709"/>
        <w:spacing w:after="0" w:line="281" w:lineRule="auto"/>
        <w:rPr>
          <w:sz w:val="20"/>
          <w:szCs w:val="20"/>
          <w:color w:val="auto"/>
        </w:rPr>
      </w:pPr>
      <w:r>
        <w:rPr>
          <w:rFonts w:ascii="Arial" w:cs="Arial" w:eastAsia="Arial" w:hAnsi="Arial"/>
          <w:sz w:val="19"/>
          <w:szCs w:val="19"/>
          <w:color w:val="auto"/>
        </w:rPr>
        <w:t>At December 31, 2024, none of the Company's executed leases that had not yet commenced will create significant rights or obligations in the future and sublease transactions are not material. Additionally, the Company does not have any related party leases, and there were no restrictions or covenants imposed by its leases.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(20) SEGMENT REPORTING</w:t>
      </w:r>
    </w:p>
    <w:p>
      <w:pPr>
        <w:spacing w:after="0" w:line="171" w:lineRule="exact"/>
        <w:rPr>
          <w:sz w:val="20"/>
          <w:szCs w:val="20"/>
          <w:color w:val="auto"/>
        </w:rPr>
      </w:pPr>
    </w:p>
    <w:p>
      <w:pPr>
        <w:ind w:left="20" w:right="60" w:firstLine="709"/>
        <w:spacing w:after="0" w:line="274" w:lineRule="auto"/>
        <w:rPr>
          <w:sz w:val="20"/>
          <w:szCs w:val="20"/>
          <w:color w:val="auto"/>
        </w:rPr>
      </w:pPr>
      <w:r>
        <w:rPr>
          <w:rFonts w:ascii="Arial" w:cs="Arial" w:eastAsia="Arial" w:hAnsi="Arial"/>
          <w:sz w:val="19"/>
          <w:szCs w:val="19"/>
          <w:color w:val="auto"/>
        </w:rPr>
        <w:t>Segment reporting is prepared on the same basis that the Company's chief operating decision maker ("CODM"),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105" w:lineRule="exact"/>
        <w:rPr>
          <w:sz w:val="20"/>
          <w:szCs w:val="20"/>
          <w:color w:val="auto"/>
        </w:rPr>
      </w:pPr>
    </w:p>
    <w:p>
      <w:pPr>
        <w:ind w:left="20" w:right="60" w:firstLine="709"/>
        <w:spacing w:after="0" w:line="268" w:lineRule="auto"/>
        <w:rPr>
          <w:sz w:val="20"/>
          <w:szCs w:val="20"/>
          <w:color w:val="auto"/>
        </w:rPr>
      </w:pPr>
      <w:r>
        <w:rPr>
          <w:rFonts w:ascii="Arial" w:cs="Arial" w:eastAsia="Arial" w:hAnsi="Arial"/>
          <w:sz w:val="19"/>
          <w:szCs w:val="19"/>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Although such transactions are excluded from the business segment results, they are included in reported consolidated earnings.</w:t>
      </w:r>
    </w:p>
    <w:p>
      <w:pPr>
        <w:spacing w:after="0" w:line="11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The following tables reconcile third-party revenues to direct revenues by Reportable Segment (in thousands):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7"/>
          </w:tcPr>
          <w:p>
            <w:pPr>
              <w:jc w:val="center"/>
              <w:ind w:right="46"/>
              <w:spacing w:after="0"/>
              <w:rPr>
                <w:sz w:val="20"/>
                <w:szCs w:val="20"/>
                <w:color w:val="auto"/>
              </w:rPr>
            </w:pPr>
            <w:r>
              <w:rPr>
                <w:rFonts w:ascii="Arial" w:cs="Arial" w:eastAsia="Arial" w:hAnsi="Arial"/>
                <w:sz w:val="16"/>
                <w:szCs w:val="16"/>
                <w:b w:val="1"/>
                <w:bCs w:val="1"/>
                <w:color w:val="auto"/>
                <w:w w:val="88"/>
              </w:rPr>
              <w:t>For the year ended December 31, 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1220" w:type="dxa"/>
            <w:vAlign w:val="bottom"/>
            <w:gridSpan w:val="2"/>
            <w:vMerge w:val="restart"/>
          </w:tcPr>
          <w:p>
            <w:pPr>
              <w:jc w:val="right"/>
              <w:ind w:right="6"/>
              <w:spacing w:after="0"/>
              <w:rPr>
                <w:sz w:val="20"/>
                <w:szCs w:val="20"/>
                <w:color w:val="auto"/>
              </w:rPr>
            </w:pPr>
            <w:r>
              <w:rPr>
                <w:rFonts w:ascii="Arial" w:cs="Arial" w:eastAsia="Arial" w:hAnsi="Arial"/>
                <w:sz w:val="16"/>
                <w:szCs w:val="16"/>
                <w:b w:val="1"/>
                <w:bCs w:val="1"/>
                <w:color w:val="auto"/>
                <w:w w:val="98"/>
              </w:rPr>
              <w:t>Environmental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88"/>
              </w:rPr>
              <w:t>Safety-Kleen</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31"/>
              <w:spacing w:after="0" w:line="158" w:lineRule="exact"/>
              <w:rPr>
                <w:sz w:val="20"/>
                <w:szCs w:val="20"/>
                <w:color w:val="auto"/>
              </w:rPr>
            </w:pPr>
            <w:r>
              <w:rPr>
                <w:rFonts w:ascii="Arial" w:cs="Arial" w:eastAsia="Arial" w:hAnsi="Arial"/>
                <w:sz w:val="16"/>
                <w:szCs w:val="16"/>
                <w:b w:val="1"/>
                <w:bCs w:val="1"/>
                <w:color w:val="auto"/>
                <w:w w:val="88"/>
              </w:rPr>
              <w:t>Total</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51"/>
              <w:spacing w:after="0" w:line="158" w:lineRule="exact"/>
              <w:rPr>
                <w:sz w:val="20"/>
                <w:szCs w:val="20"/>
                <w:color w:val="auto"/>
              </w:rPr>
            </w:pPr>
            <w:r>
              <w:rPr>
                <w:rFonts w:ascii="Arial" w:cs="Arial" w:eastAsia="Arial" w:hAnsi="Arial"/>
                <w:sz w:val="16"/>
                <w:szCs w:val="16"/>
                <w:b w:val="1"/>
                <w:bCs w:val="1"/>
                <w:color w:val="auto"/>
                <w:w w:val="94"/>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8"/>
              </w:rPr>
              <w:t>Sustainability</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31"/>
              <w:spacing w:after="0" w:line="158" w:lineRule="exact"/>
              <w:rPr>
                <w:sz w:val="20"/>
                <w:szCs w:val="20"/>
                <w:color w:val="auto"/>
              </w:rPr>
            </w:pPr>
            <w:r>
              <w:rPr>
                <w:rFonts w:ascii="Arial" w:cs="Arial" w:eastAsia="Arial" w:hAnsi="Arial"/>
                <w:sz w:val="16"/>
                <w:szCs w:val="16"/>
                <w:b w:val="1"/>
                <w:bCs w:val="1"/>
                <w:color w:val="auto"/>
                <w:w w:val="85"/>
              </w:rPr>
              <w:t>Segment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166"/>
              <w:spacing w:after="0"/>
              <w:rPr>
                <w:sz w:val="20"/>
                <w:szCs w:val="20"/>
                <w:color w:val="auto"/>
              </w:rPr>
            </w:pPr>
            <w:r>
              <w:rPr>
                <w:rFonts w:ascii="Arial" w:cs="Arial" w:eastAsia="Arial" w:hAnsi="Arial"/>
                <w:sz w:val="16"/>
                <w:szCs w:val="16"/>
                <w:b w:val="1"/>
                <w:bCs w:val="1"/>
                <w:color w:val="auto"/>
                <w:w w:val="96"/>
              </w:rPr>
              <w:t>Corporate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86"/>
              </w:rPr>
              <w:t>Consolidated</w:t>
            </w:r>
          </w:p>
        </w:tc>
        <w:tc>
          <w:tcPr>
            <w:tcW w:w="0" w:type="dxa"/>
            <w:vAlign w:val="bottom"/>
          </w:tcPr>
          <w:p>
            <w:pPr>
              <w:spacing w:after="0"/>
              <w:rPr>
                <w:sz w:val="1"/>
                <w:szCs w:val="1"/>
                <w:color w:val="auto"/>
              </w:rPr>
            </w:pPr>
          </w:p>
        </w:tc>
      </w:tr>
      <w:tr>
        <w:trPr>
          <w:trHeight w:val="211"/>
        </w:trPr>
        <w:tc>
          <w:tcPr>
            <w:tcW w:w="36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b w:val="1"/>
                <w:bCs w:val="1"/>
                <w:color w:val="auto"/>
                <w:w w:val="94"/>
              </w:rPr>
              <w:t>Services</w:t>
            </w:r>
          </w:p>
        </w:tc>
        <w:tc>
          <w:tcPr>
            <w:tcW w:w="8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4"/>
              </w:rPr>
              <w:t>Solutions</w:t>
            </w:r>
          </w:p>
        </w:tc>
        <w:tc>
          <w:tcPr>
            <w:tcW w:w="6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81"/>
              </w:rPr>
              <w:t>Revenues</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84"/>
              </w:rPr>
              <w:t>Revenues</w:t>
            </w:r>
          </w:p>
        </w:tc>
        <w:tc>
          <w:tcPr>
            <w:tcW w:w="2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80" w:type="dxa"/>
            <w:vAlign w:val="bottom"/>
            <w:shd w:val="clear" w:color="auto" w:fill="E6E6E6"/>
          </w:tcPr>
          <w:p>
            <w:pPr>
              <w:ind w:left="60"/>
              <w:spacing w:after="0"/>
              <w:rPr>
                <w:sz w:val="20"/>
                <w:szCs w:val="20"/>
                <w:color w:val="auto"/>
              </w:rPr>
            </w:pPr>
            <w:r>
              <w:rPr>
                <w:rFonts w:ascii="Arial" w:cs="Arial" w:eastAsia="Arial" w:hAnsi="Arial"/>
                <w:sz w:val="20"/>
                <w:szCs w:val="20"/>
                <w:color w:val="auto"/>
              </w:rPr>
              <w:t>Third-party revenues</w:t>
            </w:r>
          </w:p>
        </w:tc>
        <w:tc>
          <w:tcPr>
            <w:tcW w:w="240" w:type="dxa"/>
            <w:vAlign w:val="bottom"/>
            <w:shd w:val="clear" w:color="auto" w:fill="E6E6E6"/>
          </w:tcPr>
          <w:p>
            <w:pPr>
              <w:jc w:val="right"/>
              <w:ind w:right="8"/>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4,960,325</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929,220</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5,889,545</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407</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5,889,952</w:t>
            </w: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68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Intersegment revenues (expense), net</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44,422</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(44,422)</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Direct revenues</w:t>
            </w:r>
          </w:p>
        </w:tc>
        <w:tc>
          <w:tcPr>
            <w:tcW w:w="240" w:type="dxa"/>
            <w:vAlign w:val="bottom"/>
            <w:tcBorders>
              <w:bottom w:val="single" w:sz="8" w:color="auto"/>
            </w:tcBorders>
            <w:shd w:val="clear" w:color="auto" w:fill="E6E6E6"/>
          </w:tcPr>
          <w:p>
            <w:pPr>
              <w:jc w:val="right"/>
              <w:ind w:right="8"/>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8"/>
              </w:rPr>
              <w:t>5,004,747</w:t>
            </w: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884,798</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5,889,545</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407</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5,889,952</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-41910</wp:posOffset>
            </wp:positionV>
            <wp:extent cx="4084955" cy="47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6">
                      <a:extLst>
                        <a:ext uri="{28A0092B-C50C-407E-A947-70E740481C1C}"/>
                      </a:extLst>
                    </a:blip>
                    <a:srcRect/>
                    <a:stretch>
                      <a:fillRect/>
                    </a:stretch>
                  </pic:blipFill>
                  <pic:spPr bwMode="auto">
                    <a:xfrm>
                      <a:off x="0" y="0"/>
                      <a:ext cx="4084955" cy="47625"/>
                    </a:xfrm>
                    <a:prstGeom prst="rect">
                      <a:avLst/>
                    </a:prstGeom>
                    <a:noFill/>
                  </pic:spPr>
                </pic:pic>
              </a:graphicData>
            </a:graphic>
          </wp:anchor>
        </w:drawing>
      </w:r>
    </w:p>
    <w:p>
      <w:pPr>
        <w:sectPr>
          <w:pgSz w:w="11880" w:h="15480" w:orient="portrait"/>
          <w:cols w:equalWidth="0" w:num="1">
            <w:col w:w="10160"/>
          </w:cols>
          <w:pgMar w:left="860" w:top="33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880" w:h="15480" w:orient="portrait"/>
          <w:cols w:equalWidth="0" w:num="1">
            <w:col w:w="10160"/>
          </w:cols>
          <w:pgMar w:left="860" w:top="338" w:right="860" w:bottom="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8"/>
          </w:tcPr>
          <w:p>
            <w:pPr>
              <w:jc w:val="center"/>
              <w:ind w:right="66"/>
              <w:spacing w:after="0"/>
              <w:rPr>
                <w:sz w:val="20"/>
                <w:szCs w:val="20"/>
                <w:color w:val="auto"/>
              </w:rPr>
            </w:pPr>
            <w:r>
              <w:rPr>
                <w:rFonts w:ascii="Arial" w:cs="Arial" w:eastAsia="Arial" w:hAnsi="Arial"/>
                <w:sz w:val="16"/>
                <w:szCs w:val="16"/>
                <w:b w:val="1"/>
                <w:bCs w:val="1"/>
                <w:color w:val="auto"/>
                <w:w w:val="88"/>
              </w:rPr>
              <w:t>For the year ended December 31, 2023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Environmental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90"/>
              </w:rPr>
              <w:t>Safety-Kleen</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Total</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91"/>
              <w:spacing w:after="0" w:line="158" w:lineRule="exact"/>
              <w:rPr>
                <w:sz w:val="20"/>
                <w:szCs w:val="20"/>
                <w:color w:val="auto"/>
              </w:rPr>
            </w:pPr>
            <w:r>
              <w:rPr>
                <w:rFonts w:ascii="Arial" w:cs="Arial" w:eastAsia="Arial" w:hAnsi="Arial"/>
                <w:sz w:val="16"/>
                <w:szCs w:val="16"/>
                <w:b w:val="1"/>
                <w:bCs w:val="1"/>
                <w:color w:val="auto"/>
                <w:w w:val="94"/>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8"/>
              </w:rPr>
              <w:t>Sustainability</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2"/>
              </w:rPr>
              <w:t>Segment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166"/>
              <w:spacing w:after="0"/>
              <w:rPr>
                <w:sz w:val="20"/>
                <w:szCs w:val="20"/>
                <w:color w:val="auto"/>
              </w:rPr>
            </w:pPr>
            <w:r>
              <w:rPr>
                <w:rFonts w:ascii="Arial" w:cs="Arial" w:eastAsia="Arial" w:hAnsi="Arial"/>
                <w:sz w:val="16"/>
                <w:szCs w:val="16"/>
                <w:b w:val="1"/>
                <w:bCs w:val="1"/>
                <w:color w:val="auto"/>
                <w:w w:val="96"/>
              </w:rPr>
              <w:t>Corporate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86"/>
              </w:rPr>
              <w:t>Consolidated</w:t>
            </w:r>
          </w:p>
        </w:tc>
        <w:tc>
          <w:tcPr>
            <w:tcW w:w="0" w:type="dxa"/>
            <w:vAlign w:val="bottom"/>
          </w:tcPr>
          <w:p>
            <w:pPr>
              <w:spacing w:after="0"/>
              <w:rPr>
                <w:sz w:val="1"/>
                <w:szCs w:val="1"/>
                <w:color w:val="auto"/>
              </w:rPr>
            </w:pPr>
          </w:p>
        </w:tc>
      </w:tr>
      <w:tr>
        <w:trPr>
          <w:trHeight w:val="211"/>
        </w:trPr>
        <w:tc>
          <w:tcPr>
            <w:tcW w:w="36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46"/>
              <w:spacing w:after="0"/>
              <w:rPr>
                <w:sz w:val="20"/>
                <w:szCs w:val="20"/>
                <w:color w:val="auto"/>
              </w:rPr>
            </w:pPr>
            <w:r>
              <w:rPr>
                <w:rFonts w:ascii="Arial" w:cs="Arial" w:eastAsia="Arial" w:hAnsi="Arial"/>
                <w:sz w:val="16"/>
                <w:szCs w:val="16"/>
                <w:b w:val="1"/>
                <w:bCs w:val="1"/>
                <w:color w:val="auto"/>
                <w:w w:val="85"/>
              </w:rPr>
              <w:t>Services</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4"/>
              </w:rPr>
              <w:t>Solutions</w:t>
            </w:r>
          </w:p>
        </w:tc>
        <w:tc>
          <w:tcPr>
            <w:tcW w:w="6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4"/>
              </w:rPr>
              <w:t>Revenues</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4"/>
              </w:rPr>
              <w:t>Revenues</w:t>
            </w:r>
          </w:p>
        </w:tc>
        <w:tc>
          <w:tcPr>
            <w:tcW w:w="0" w:type="dxa"/>
            <w:vAlign w:val="bottom"/>
          </w:tcPr>
          <w:p>
            <w:pPr>
              <w:spacing w:after="0"/>
              <w:rPr>
                <w:sz w:val="1"/>
                <w:szCs w:val="1"/>
                <w:color w:val="auto"/>
              </w:rPr>
            </w:pPr>
          </w:p>
        </w:tc>
      </w:tr>
      <w:tr>
        <w:trPr>
          <w:trHeight w:val="271"/>
        </w:trPr>
        <w:tc>
          <w:tcPr>
            <w:tcW w:w="3660" w:type="dxa"/>
            <w:vAlign w:val="bottom"/>
            <w:shd w:val="clear" w:color="auto" w:fill="E6E6E6"/>
          </w:tcPr>
          <w:p>
            <w:pPr>
              <w:ind w:left="60"/>
              <w:spacing w:after="0"/>
              <w:rPr>
                <w:sz w:val="20"/>
                <w:szCs w:val="20"/>
                <w:color w:val="auto"/>
              </w:rPr>
            </w:pPr>
            <w:r>
              <w:rPr>
                <w:rFonts w:ascii="Arial" w:cs="Arial" w:eastAsia="Arial" w:hAnsi="Arial"/>
                <w:sz w:val="20"/>
                <w:szCs w:val="20"/>
                <w:color w:val="auto"/>
              </w:rPr>
              <w:t>Third-party revenues</w:t>
            </w:r>
          </w:p>
        </w:tc>
        <w:tc>
          <w:tcPr>
            <w:tcW w:w="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4,469,909</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938,796</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5,408,705</w:t>
            </w:r>
          </w:p>
        </w:tc>
        <w:tc>
          <w:tcPr>
            <w:tcW w:w="20" w:type="dxa"/>
            <w:vAlign w:val="bottom"/>
            <w:shd w:val="clear" w:color="auto" w:fill="E6E6E6"/>
          </w:tcPr>
          <w:p>
            <w:pPr>
              <w:spacing w:after="0"/>
              <w:rPr>
                <w:sz w:val="23"/>
                <w:szCs w:val="23"/>
                <w:color w:val="auto"/>
              </w:rPr>
            </w:pP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447</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5,409,152</w:t>
            </w: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Intersegment revenues (expense), net</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41,533</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(41,533)</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0"/>
        </w:trPr>
        <w:tc>
          <w:tcPr>
            <w:tcW w:w="3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Direct revenues</w:t>
            </w: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4,511,442</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897,263</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5,408,705</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447</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5,409,152</w:t>
            </w:r>
          </w:p>
        </w:tc>
        <w:tc>
          <w:tcPr>
            <w:tcW w:w="2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3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jc w:val="center"/>
              <w:ind w:right="66"/>
              <w:spacing w:after="0"/>
              <w:rPr>
                <w:sz w:val="20"/>
                <w:szCs w:val="20"/>
                <w:color w:val="auto"/>
              </w:rPr>
            </w:pPr>
            <w:r>
              <w:rPr>
                <w:rFonts w:ascii="Arial" w:cs="Arial" w:eastAsia="Arial" w:hAnsi="Arial"/>
                <w:sz w:val="16"/>
                <w:szCs w:val="16"/>
                <w:b w:val="1"/>
                <w:bCs w:val="1"/>
                <w:color w:val="auto"/>
                <w:w w:val="88"/>
              </w:rPr>
              <w:t>For the year ended December 31, 2022</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Environmental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90"/>
              </w:rPr>
              <w:t>Safety-Kleen</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4"/>
              </w:rPr>
              <w:t>Total</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91"/>
              <w:spacing w:after="0" w:line="158" w:lineRule="exact"/>
              <w:rPr>
                <w:sz w:val="20"/>
                <w:szCs w:val="20"/>
                <w:color w:val="auto"/>
              </w:rPr>
            </w:pPr>
            <w:r>
              <w:rPr>
                <w:rFonts w:ascii="Arial" w:cs="Arial" w:eastAsia="Arial" w:hAnsi="Arial"/>
                <w:sz w:val="16"/>
                <w:szCs w:val="16"/>
                <w:b w:val="1"/>
                <w:bCs w:val="1"/>
                <w:color w:val="auto"/>
                <w:w w:val="94"/>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8"/>
              </w:rPr>
              <w:t>Sustainability</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5"/>
              </w:rPr>
              <w:t>Segment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166"/>
              <w:spacing w:after="0"/>
              <w:rPr>
                <w:sz w:val="20"/>
                <w:szCs w:val="20"/>
                <w:color w:val="auto"/>
              </w:rPr>
            </w:pPr>
            <w:r>
              <w:rPr>
                <w:rFonts w:ascii="Arial" w:cs="Arial" w:eastAsia="Arial" w:hAnsi="Arial"/>
                <w:sz w:val="16"/>
                <w:szCs w:val="16"/>
                <w:b w:val="1"/>
                <w:bCs w:val="1"/>
                <w:color w:val="auto"/>
                <w:w w:val="96"/>
              </w:rPr>
              <w:t>Corporate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86"/>
              </w:rPr>
              <w:t>Consolidated</w:t>
            </w:r>
          </w:p>
        </w:tc>
        <w:tc>
          <w:tcPr>
            <w:tcW w:w="0" w:type="dxa"/>
            <w:vAlign w:val="bottom"/>
          </w:tcPr>
          <w:p>
            <w:pPr>
              <w:spacing w:after="0"/>
              <w:rPr>
                <w:sz w:val="1"/>
                <w:szCs w:val="1"/>
                <w:color w:val="auto"/>
              </w:rPr>
            </w:pPr>
          </w:p>
        </w:tc>
      </w:tr>
      <w:tr>
        <w:trPr>
          <w:trHeight w:val="211"/>
        </w:trPr>
        <w:tc>
          <w:tcPr>
            <w:tcW w:w="36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46"/>
              <w:spacing w:after="0"/>
              <w:rPr>
                <w:sz w:val="20"/>
                <w:szCs w:val="20"/>
                <w:color w:val="auto"/>
              </w:rPr>
            </w:pPr>
            <w:r>
              <w:rPr>
                <w:rFonts w:ascii="Arial" w:cs="Arial" w:eastAsia="Arial" w:hAnsi="Arial"/>
                <w:sz w:val="16"/>
                <w:szCs w:val="16"/>
                <w:b w:val="1"/>
                <w:bCs w:val="1"/>
                <w:color w:val="auto"/>
                <w:w w:val="85"/>
              </w:rPr>
              <w:t>Services</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4"/>
              </w:rPr>
              <w:t>Solutions</w:t>
            </w:r>
          </w:p>
        </w:tc>
        <w:tc>
          <w:tcPr>
            <w:tcW w:w="60" w:type="dxa"/>
            <w:vAlign w:val="bottom"/>
            <w:tcBorders>
              <w:bottom w:val="single" w:sz="8" w:color="E6E6E6"/>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84"/>
              </w:rPr>
              <w:t>Revenues</w:t>
            </w: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4"/>
              </w:rPr>
              <w:t>Revenues</w:t>
            </w:r>
          </w:p>
        </w:tc>
        <w:tc>
          <w:tcPr>
            <w:tcW w:w="0" w:type="dxa"/>
            <w:vAlign w:val="bottom"/>
          </w:tcPr>
          <w:p>
            <w:pPr>
              <w:spacing w:after="0"/>
              <w:rPr>
                <w:sz w:val="1"/>
                <w:szCs w:val="1"/>
                <w:color w:val="auto"/>
              </w:rPr>
            </w:pPr>
          </w:p>
        </w:tc>
      </w:tr>
      <w:tr>
        <w:trPr>
          <w:trHeight w:val="271"/>
        </w:trPr>
        <w:tc>
          <w:tcPr>
            <w:tcW w:w="3660" w:type="dxa"/>
            <w:vAlign w:val="bottom"/>
            <w:shd w:val="clear" w:color="auto" w:fill="E6E6E6"/>
          </w:tcPr>
          <w:p>
            <w:pPr>
              <w:ind w:left="60"/>
              <w:spacing w:after="0"/>
              <w:rPr>
                <w:sz w:val="20"/>
                <w:szCs w:val="20"/>
                <w:color w:val="auto"/>
              </w:rPr>
            </w:pPr>
            <w:r>
              <w:rPr>
                <w:rFonts w:ascii="Arial" w:cs="Arial" w:eastAsia="Arial" w:hAnsi="Arial"/>
                <w:sz w:val="20"/>
                <w:szCs w:val="20"/>
                <w:color w:val="auto"/>
              </w:rPr>
              <w:t>Third-party revenues</w:t>
            </w:r>
          </w:p>
        </w:tc>
        <w:tc>
          <w:tcPr>
            <w:tcW w:w="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4,144,973</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1,021,125</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5,166,098</w:t>
            </w:r>
          </w:p>
        </w:tc>
        <w:tc>
          <w:tcPr>
            <w:tcW w:w="20" w:type="dxa"/>
            <w:vAlign w:val="bottom"/>
            <w:shd w:val="clear" w:color="auto" w:fill="E6E6E6"/>
          </w:tcPr>
          <w:p>
            <w:pPr>
              <w:spacing w:after="0"/>
              <w:rPr>
                <w:sz w:val="23"/>
                <w:szCs w:val="23"/>
                <w:color w:val="auto"/>
              </w:rPr>
            </w:pP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507</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5,166,605</w:t>
            </w: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66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Intersegment revenues (expense), net</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26,733</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(26,733)</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0"/>
        </w:trPr>
        <w:tc>
          <w:tcPr>
            <w:tcW w:w="3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Direct revenues</w:t>
            </w: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4,171,706</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994,392</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5,166,098</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507</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5,166,605</w:t>
            </w:r>
          </w:p>
        </w:tc>
        <w:tc>
          <w:tcPr>
            <w:tcW w:w="2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-1266190</wp:posOffset>
            </wp:positionV>
            <wp:extent cx="4097020" cy="501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7">
                      <a:extLst>
                        <a:ext uri="{28A0092B-C50C-407E-A947-70E740481C1C}"/>
                      </a:extLst>
                    </a:blip>
                    <a:srcRect/>
                    <a:stretch>
                      <a:fillRect/>
                    </a:stretch>
                  </pic:blipFill>
                  <pic:spPr bwMode="auto">
                    <a:xfrm>
                      <a:off x="0" y="0"/>
                      <a:ext cx="4097020" cy="5016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-43180</wp:posOffset>
            </wp:positionV>
            <wp:extent cx="4097020"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8">
                      <a:extLst>
                        <a:ext uri="{28A0092B-C50C-407E-A947-70E740481C1C}"/>
                      </a:extLst>
                    </a:blip>
                    <a:srcRect/>
                    <a:stretch>
                      <a:fillRect/>
                    </a:stretch>
                  </pic:blipFill>
                  <pic:spPr bwMode="auto">
                    <a:xfrm>
                      <a:off x="0" y="0"/>
                      <a:ext cx="4097020" cy="50165"/>
                    </a:xfrm>
                    <a:prstGeom prst="rect">
                      <a:avLst/>
                    </a:prstGeom>
                    <a:noFill/>
                  </pic:spPr>
                </pic:pic>
              </a:graphicData>
            </a:graphic>
          </wp:anchor>
        </w:drawing>
      </w:r>
    </w:p>
    <w:p>
      <w:pPr>
        <w:spacing w:after="0" w:line="145" w:lineRule="exact"/>
        <w:rPr>
          <w:sz w:val="20"/>
          <w:szCs w:val="20"/>
          <w:color w:val="auto"/>
        </w:rPr>
      </w:pPr>
    </w:p>
    <w:p>
      <w:pPr>
        <w:ind w:right="160" w:firstLine="709"/>
        <w:spacing w:after="0" w:line="332" w:lineRule="auto"/>
        <w:rPr>
          <w:sz w:val="20"/>
          <w:szCs w:val="20"/>
          <w:color w:val="auto"/>
        </w:rPr>
      </w:pPr>
      <w:r>
        <w:rPr>
          <w:rFonts w:ascii="Arial" w:cs="Arial" w:eastAsia="Arial" w:hAnsi="Arial"/>
          <w:sz w:val="16"/>
          <w:szCs w:val="16"/>
          <w:color w:val="auto"/>
        </w:rPr>
        <w:t>The primary financial measure by which the CODM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transactions not deemed representative of fundamental segment results and other (income) expense, net. Transactions between the segments are accounted for at the Company’s best estimate based on similar transactions with outside customers.</w:t>
      </w:r>
    </w:p>
    <w:p>
      <w:pPr>
        <w:spacing w:after="0" w:line="67" w:lineRule="exact"/>
        <w:rPr>
          <w:sz w:val="20"/>
          <w:szCs w:val="20"/>
          <w:color w:val="auto"/>
        </w:rPr>
      </w:pPr>
    </w:p>
    <w:p>
      <w:pPr>
        <w:ind w:right="260" w:firstLine="709"/>
        <w:spacing w:after="0" w:line="270" w:lineRule="auto"/>
        <w:rPr>
          <w:sz w:val="20"/>
          <w:szCs w:val="20"/>
          <w:color w:val="auto"/>
        </w:rPr>
      </w:pPr>
      <w:r>
        <w:rPr>
          <w:rFonts w:ascii="Arial" w:cs="Arial" w:eastAsia="Arial" w:hAnsi="Arial"/>
          <w:sz w:val="19"/>
          <w:szCs w:val="19"/>
          <w:color w:val="auto"/>
        </w:rPr>
        <w:t>The CODM uses Adjusted EBITDA to enhance their understanding of segment operating performance, which represents the Company’s performance in the ordinary, ongoing and customary course of operations. The reportable segment operating performance Adjusted EBITDA is used by the CODM to make key operating decisions such as the allocation of resources. Total assets by segment are not used by the CODM to assess the performance of, or allocate resources to, the Company’s segments, therefore total assets by segment are not disclosed.</w:t>
      </w:r>
    </w:p>
    <w:p>
      <w:pPr>
        <w:spacing w:after="0" w:line="111" w:lineRule="exact"/>
        <w:rPr>
          <w:sz w:val="20"/>
          <w:szCs w:val="20"/>
          <w:color w:val="auto"/>
        </w:rPr>
      </w:pPr>
    </w:p>
    <w:p>
      <w:pPr>
        <w:ind w:right="220" w:firstLine="709"/>
        <w:spacing w:after="0" w:line="276" w:lineRule="auto"/>
        <w:rPr>
          <w:sz w:val="20"/>
          <w:szCs w:val="20"/>
          <w:color w:val="auto"/>
        </w:rPr>
      </w:pPr>
      <w:r>
        <w:rPr>
          <w:rFonts w:ascii="Arial" w:cs="Arial" w:eastAsia="Arial" w:hAnsi="Arial"/>
          <w:sz w:val="20"/>
          <w:szCs w:val="20"/>
          <w:color w:val="auto"/>
        </w:rPr>
        <w:t>The tables below present total Reportable Segment Adjusted EBITDA and the relevant significant segment expenses provided to the CODM by reported segment (in thousands):</w:t>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Arial" w:cs="Arial" w:eastAsia="Arial" w:hAnsi="Arial"/>
          <w:sz w:val="20"/>
          <w:szCs w:val="20"/>
          <w:color w:val="auto"/>
        </w:rPr>
        <w:t>Direct Revenues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Cost of Revenues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Selling, General and Administrative Expenses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Reportable Segment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20"/>
          <w:szCs w:val="20"/>
          <w:color w:val="auto"/>
        </w:rPr>
        <w:t>Direct Revenues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Cost of Revenues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Selling, General and Administrative Expenses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Reportable Segment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20"/>
          <w:szCs w:val="20"/>
          <w:color w:val="auto"/>
        </w:rPr>
        <w:t>Direct Revenues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Cost of Revenues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Selling, General and Administrative Expenses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Reportable Segment Adjusted EBITDA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2664460"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9">
                      <a:extLst>
                        <a:ext uri="{28A0092B-C50C-407E-A947-70E740481C1C}"/>
                      </a:extLst>
                    </a:blip>
                    <a:srcRect/>
                    <a:stretch>
                      <a:fillRect/>
                    </a:stretch>
                  </pic:blipFill>
                  <pic:spPr bwMode="auto">
                    <a:xfrm>
                      <a:off x="0" y="0"/>
                      <a:ext cx="2664460" cy="1270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Environmental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0"/>
              <w:spacing w:after="0"/>
              <w:rPr>
                <w:sz w:val="20"/>
                <w:szCs w:val="20"/>
                <w:color w:val="auto"/>
              </w:rPr>
            </w:pPr>
            <w:r>
              <w:rPr>
                <w:rFonts w:ascii="Arial" w:cs="Arial" w:eastAsia="Arial" w:hAnsi="Arial"/>
                <w:sz w:val="16"/>
                <w:szCs w:val="16"/>
                <w:b w:val="1"/>
                <w:bCs w:val="1"/>
                <w:color w:val="auto"/>
                <w:w w:val="88"/>
              </w:rPr>
              <w:t>Safety-Kleen</w:t>
            </w:r>
          </w:p>
        </w:tc>
        <w:tc>
          <w:tcPr>
            <w:tcW w:w="60" w:type="dxa"/>
            <w:vAlign w:val="bottom"/>
          </w:tcPr>
          <w:p>
            <w:pPr>
              <w:spacing w:after="0"/>
              <w:rPr>
                <w:sz w:val="16"/>
                <w:szCs w:val="16"/>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Total Reportable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0"/>
              <w:spacing w:after="0" w:line="158" w:lineRule="exact"/>
              <w:rPr>
                <w:sz w:val="20"/>
                <w:szCs w:val="20"/>
                <w:color w:val="auto"/>
              </w:rPr>
            </w:pPr>
            <w:r>
              <w:rPr>
                <w:rFonts w:ascii="Arial" w:cs="Arial" w:eastAsia="Arial" w:hAnsi="Arial"/>
                <w:sz w:val="16"/>
                <w:szCs w:val="16"/>
                <w:b w:val="1"/>
                <w:bCs w:val="1"/>
                <w:color w:val="auto"/>
                <w:w w:val="88"/>
              </w:rPr>
              <w:t>Sustainability</w:t>
            </w:r>
          </w:p>
        </w:tc>
        <w:tc>
          <w:tcPr>
            <w:tcW w:w="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5"/>
              </w:rPr>
              <w:t>Services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6"/>
                <w:szCs w:val="16"/>
                <w:b w:val="1"/>
                <w:bCs w:val="1"/>
                <w:color w:val="auto"/>
                <w:w w:val="84"/>
              </w:rPr>
              <w:t>Solutions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6"/>
                <w:szCs w:val="16"/>
                <w:b w:val="1"/>
                <w:bCs w:val="1"/>
                <w:color w:val="auto"/>
                <w:w w:val="83"/>
              </w:rPr>
              <w:t>Segments</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5,004,747</w:t>
            </w:r>
          </w:p>
        </w:tc>
        <w:tc>
          <w:tcPr>
            <w:tcW w:w="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884,798</w:t>
            </w:r>
          </w:p>
        </w:tc>
        <w:tc>
          <w:tcPr>
            <w:tcW w:w="300" w:type="dxa"/>
            <w:vAlign w:val="bottom"/>
            <w:gridSpan w:val="2"/>
          </w:tcPr>
          <w:p>
            <w:pPr>
              <w:jc w:val="right"/>
              <w:ind w:right="13"/>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5,889,545</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3,366,022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659,217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4,025,239</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371,263</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78,575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449,838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1,267,462</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147,006</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13"/>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1,414,468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8"/>
          </w:tcPr>
          <w:p>
            <w:pPr>
              <w:jc w:val="center"/>
              <w:ind w:right="85"/>
              <w:spacing w:after="0"/>
              <w:rPr>
                <w:sz w:val="20"/>
                <w:szCs w:val="20"/>
                <w:color w:val="auto"/>
              </w:rPr>
            </w:pPr>
            <w:r>
              <w:rPr>
                <w:rFonts w:ascii="Arial" w:cs="Arial" w:eastAsia="Arial" w:hAnsi="Arial"/>
                <w:sz w:val="16"/>
                <w:szCs w:val="16"/>
                <w:b w:val="1"/>
                <w:bCs w:val="1"/>
                <w:color w:val="auto"/>
                <w:w w:val="88"/>
              </w:rPr>
              <w:t>For the year ended December 31, 2023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Environmental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0"/>
              <w:spacing w:after="0"/>
              <w:rPr>
                <w:sz w:val="20"/>
                <w:szCs w:val="20"/>
                <w:color w:val="auto"/>
              </w:rPr>
            </w:pPr>
            <w:r>
              <w:rPr>
                <w:rFonts w:ascii="Arial" w:cs="Arial" w:eastAsia="Arial" w:hAnsi="Arial"/>
                <w:sz w:val="16"/>
                <w:szCs w:val="16"/>
                <w:b w:val="1"/>
                <w:bCs w:val="1"/>
                <w:color w:val="auto"/>
                <w:w w:val="88"/>
              </w:rPr>
              <w:t>Safety-Kleen</w:t>
            </w:r>
          </w:p>
        </w:tc>
        <w:tc>
          <w:tcPr>
            <w:tcW w:w="60" w:type="dxa"/>
            <w:vAlign w:val="bottom"/>
          </w:tcPr>
          <w:p>
            <w:pPr>
              <w:spacing w:after="0"/>
              <w:rPr>
                <w:sz w:val="16"/>
                <w:szCs w:val="16"/>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Total Reportable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0"/>
              <w:spacing w:after="0" w:line="158" w:lineRule="exact"/>
              <w:rPr>
                <w:sz w:val="20"/>
                <w:szCs w:val="20"/>
                <w:color w:val="auto"/>
              </w:rPr>
            </w:pPr>
            <w:r>
              <w:rPr>
                <w:rFonts w:ascii="Arial" w:cs="Arial" w:eastAsia="Arial" w:hAnsi="Arial"/>
                <w:sz w:val="16"/>
                <w:szCs w:val="16"/>
                <w:b w:val="1"/>
                <w:bCs w:val="1"/>
                <w:color w:val="auto"/>
                <w:w w:val="88"/>
              </w:rPr>
              <w:t>Sustainability</w:t>
            </w:r>
          </w:p>
        </w:tc>
        <w:tc>
          <w:tcPr>
            <w:tcW w:w="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5"/>
              </w:rPr>
              <w:t>Services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6"/>
                <w:szCs w:val="16"/>
                <w:b w:val="1"/>
                <w:bCs w:val="1"/>
                <w:color w:val="auto"/>
                <w:w w:val="84"/>
              </w:rPr>
              <w:t>Solutions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6"/>
                <w:szCs w:val="16"/>
                <w:b w:val="1"/>
                <w:bCs w:val="1"/>
                <w:color w:val="auto"/>
                <w:w w:val="83"/>
              </w:rPr>
              <w:t>Segments</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4,511,442</w:t>
            </w:r>
          </w:p>
        </w:tc>
        <w:tc>
          <w:tcPr>
            <w:tcW w:w="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897,263</w:t>
            </w:r>
          </w:p>
        </w:tc>
        <w:tc>
          <w:tcPr>
            <w:tcW w:w="300" w:type="dxa"/>
            <w:vAlign w:val="bottom"/>
            <w:gridSpan w:val="2"/>
          </w:tcPr>
          <w:p>
            <w:pPr>
              <w:jc w:val="right"/>
              <w:ind w:right="13"/>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5,408,705</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3,063,043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646,301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3,709,344</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346,791</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78,089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424,880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1,101,608</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172,873</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13"/>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1,274,481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8"/>
          </w:tcPr>
          <w:p>
            <w:pPr>
              <w:jc w:val="center"/>
              <w:ind w:right="85"/>
              <w:spacing w:after="0"/>
              <w:rPr>
                <w:sz w:val="20"/>
                <w:szCs w:val="20"/>
                <w:color w:val="auto"/>
              </w:rPr>
            </w:pPr>
            <w:r>
              <w:rPr>
                <w:rFonts w:ascii="Arial" w:cs="Arial" w:eastAsia="Arial" w:hAnsi="Arial"/>
                <w:sz w:val="16"/>
                <w:szCs w:val="16"/>
                <w:b w:val="1"/>
                <w:bCs w:val="1"/>
                <w:color w:val="auto"/>
                <w:w w:val="88"/>
              </w:rPr>
              <w:t>For the year ended December 31, 2022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9"/>
              </w:rPr>
              <w:t>Environmental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0"/>
              <w:spacing w:after="0"/>
              <w:rPr>
                <w:sz w:val="20"/>
                <w:szCs w:val="20"/>
                <w:color w:val="auto"/>
              </w:rPr>
            </w:pPr>
            <w:r>
              <w:rPr>
                <w:rFonts w:ascii="Arial" w:cs="Arial" w:eastAsia="Arial" w:hAnsi="Arial"/>
                <w:sz w:val="16"/>
                <w:szCs w:val="16"/>
                <w:b w:val="1"/>
                <w:bCs w:val="1"/>
                <w:color w:val="auto"/>
                <w:w w:val="88"/>
              </w:rPr>
              <w:t>Safety-Kleen</w:t>
            </w:r>
          </w:p>
        </w:tc>
        <w:tc>
          <w:tcPr>
            <w:tcW w:w="60" w:type="dxa"/>
            <w:vAlign w:val="bottom"/>
          </w:tcPr>
          <w:p>
            <w:pPr>
              <w:spacing w:after="0"/>
              <w:rPr>
                <w:sz w:val="16"/>
                <w:szCs w:val="16"/>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Total Reportable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0"/>
              <w:spacing w:after="0" w:line="158" w:lineRule="exact"/>
              <w:rPr>
                <w:sz w:val="20"/>
                <w:szCs w:val="20"/>
                <w:color w:val="auto"/>
              </w:rPr>
            </w:pPr>
            <w:r>
              <w:rPr>
                <w:rFonts w:ascii="Arial" w:cs="Arial" w:eastAsia="Arial" w:hAnsi="Arial"/>
                <w:sz w:val="16"/>
                <w:szCs w:val="16"/>
                <w:b w:val="1"/>
                <w:bCs w:val="1"/>
                <w:color w:val="auto"/>
                <w:w w:val="88"/>
              </w:rPr>
              <w:t>Sustainability</w:t>
            </w:r>
          </w:p>
        </w:tc>
        <w:tc>
          <w:tcPr>
            <w:tcW w:w="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9"/>
              <w:spacing w:after="0"/>
              <w:rPr>
                <w:sz w:val="20"/>
                <w:szCs w:val="20"/>
                <w:color w:val="auto"/>
              </w:rPr>
            </w:pPr>
            <w:r>
              <w:rPr>
                <w:rFonts w:ascii="Arial" w:cs="Arial" w:eastAsia="Arial" w:hAnsi="Arial"/>
                <w:sz w:val="16"/>
                <w:szCs w:val="16"/>
                <w:b w:val="1"/>
                <w:bCs w:val="1"/>
                <w:color w:val="auto"/>
                <w:w w:val="85"/>
              </w:rPr>
              <w:t>Services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6"/>
                <w:szCs w:val="16"/>
                <w:b w:val="1"/>
                <w:bCs w:val="1"/>
                <w:color w:val="auto"/>
                <w:w w:val="84"/>
              </w:rPr>
              <w:t>Solutions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6"/>
                <w:szCs w:val="16"/>
                <w:b w:val="1"/>
                <w:bCs w:val="1"/>
                <w:color w:val="auto"/>
                <w:w w:val="83"/>
              </w:rPr>
              <w:t>Segments</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4,171,706</w:t>
            </w:r>
          </w:p>
        </w:tc>
        <w:tc>
          <w:tcPr>
            <w:tcW w:w="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994,392</w:t>
            </w:r>
          </w:p>
        </w:tc>
        <w:tc>
          <w:tcPr>
            <w:tcW w:w="300" w:type="dxa"/>
            <w:vAlign w:val="bottom"/>
            <w:gridSpan w:val="2"/>
          </w:tcPr>
          <w:p>
            <w:pPr>
              <w:jc w:val="right"/>
              <w:ind w:right="13"/>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5,166,098</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2,902,979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615,303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3,518,282</w:t>
            </w:r>
          </w:p>
        </w:tc>
        <w:tc>
          <w:tcPr>
            <w:tcW w:w="0" w:type="dxa"/>
            <w:vAlign w:val="bottom"/>
          </w:tcPr>
          <w:p>
            <w:pPr>
              <w:spacing w:after="0"/>
              <w:rPr>
                <w:sz w:val="1"/>
                <w:szCs w:val="1"/>
                <w:color w:val="auto"/>
              </w:rPr>
            </w:pPr>
          </w:p>
        </w:tc>
      </w:tr>
      <w:tr>
        <w:trPr>
          <w:trHeight w:val="282"/>
        </w:trPr>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315,674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72,762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388,436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953,053</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306,327</w:t>
            </w:r>
          </w:p>
        </w:tc>
        <w:tc>
          <w:tcPr>
            <w:tcW w:w="300" w:type="dxa"/>
            <w:vAlign w:val="bottom"/>
            <w:gridSpan w:val="2"/>
          </w:tcPr>
          <w:p>
            <w:pPr>
              <w:jc w:val="right"/>
              <w:ind w:right="13"/>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1,259,380</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-3741420</wp:posOffset>
                </wp:positionH>
                <wp:positionV relativeFrom="paragraph">
                  <wp:posOffset>-3314065</wp:posOffset>
                </wp:positionV>
                <wp:extent cx="6416675" cy="17780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177800"/>
                        </a:xfrm>
                        <a:prstGeom prst="rect">
                          <a:avLst/>
                        </a:prstGeom>
                        <a:solidFill>
                          <a:srgbClr val="E6E6E6"/>
                        </a:solidFill>
                      </wps:spPr>
                      <wps:bodyPr/>
                    </wps:wsp>
                  </a:graphicData>
                </a:graphic>
              </wp:anchor>
            </w:drawing>
          </mc:Choice>
          <mc:Fallback>
            <w:pict>
              <v:rect id="Shape 115" o:spid="_x0000_s1140" style="position:absolute;margin-left:-294.5999pt;margin-top:-260.9499pt;width:505.2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-3741420</wp:posOffset>
                </wp:positionH>
                <wp:positionV relativeFrom="paragraph">
                  <wp:posOffset>-2957830</wp:posOffset>
                </wp:positionV>
                <wp:extent cx="6416675" cy="17843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178435"/>
                        </a:xfrm>
                        <a:prstGeom prst="rect">
                          <a:avLst/>
                        </a:prstGeom>
                        <a:solidFill>
                          <a:srgbClr val="E6E6E6"/>
                        </a:solidFill>
                      </wps:spPr>
                      <wps:bodyPr/>
                    </wps:wsp>
                  </a:graphicData>
                </a:graphic>
              </wp:anchor>
            </w:drawing>
          </mc:Choice>
          <mc:Fallback>
            <w:pict>
              <v:rect id="Shape 116" o:spid="_x0000_s1141" style="position:absolute;margin-left:-294.5999pt;margin-top:-232.8999pt;width:505.2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-1270</wp:posOffset>
            </wp:positionH>
            <wp:positionV relativeFrom="paragraph">
              <wp:posOffset>-2626360</wp:posOffset>
            </wp:positionV>
            <wp:extent cx="2689860" cy="501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0">
                      <a:extLst>
                        <a:ext uri="{28A0092B-C50C-407E-A947-70E740481C1C}"/>
                      </a:extLst>
                    </a:blip>
                    <a:srcRect/>
                    <a:stretch>
                      <a:fillRect/>
                    </a:stretch>
                  </pic:blipFill>
                  <pic:spPr bwMode="auto">
                    <a:xfrm>
                      <a:off x="0" y="0"/>
                      <a:ext cx="2689860"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-3741420</wp:posOffset>
                </wp:positionH>
                <wp:positionV relativeFrom="paragraph">
                  <wp:posOffset>-2022475</wp:posOffset>
                </wp:positionV>
                <wp:extent cx="6416675" cy="17780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177800"/>
                        </a:xfrm>
                        <a:prstGeom prst="rect">
                          <a:avLst/>
                        </a:prstGeom>
                        <a:solidFill>
                          <a:srgbClr val="E6E6E6"/>
                        </a:solidFill>
                      </wps:spPr>
                      <wps:bodyPr/>
                    </wps:wsp>
                  </a:graphicData>
                </a:graphic>
              </wp:anchor>
            </w:drawing>
          </mc:Choice>
          <mc:Fallback>
            <w:pict>
              <v:rect id="Shape 118" o:spid="_x0000_s1143" style="position:absolute;margin-left:-294.5999pt;margin-top:-159.2499pt;width:505.2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-3741420</wp:posOffset>
                </wp:positionH>
                <wp:positionV relativeFrom="paragraph">
                  <wp:posOffset>-1666240</wp:posOffset>
                </wp:positionV>
                <wp:extent cx="6416675" cy="17843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178435"/>
                        </a:xfrm>
                        <a:prstGeom prst="rect">
                          <a:avLst/>
                        </a:prstGeom>
                        <a:solidFill>
                          <a:srgbClr val="E6E6E6"/>
                        </a:solidFill>
                      </wps:spPr>
                      <wps:bodyPr/>
                    </wps:wsp>
                  </a:graphicData>
                </a:graphic>
              </wp:anchor>
            </w:drawing>
          </mc:Choice>
          <mc:Fallback>
            <w:pict>
              <v:rect id="Shape 119" o:spid="_x0000_s1144" style="position:absolute;margin-left:-294.5999pt;margin-top:-131.1999pt;width:505.2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-1270</wp:posOffset>
            </wp:positionH>
            <wp:positionV relativeFrom="paragraph">
              <wp:posOffset>-1334770</wp:posOffset>
            </wp:positionV>
            <wp:extent cx="2689860" cy="501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1">
                      <a:extLst>
                        <a:ext uri="{28A0092B-C50C-407E-A947-70E740481C1C}"/>
                      </a:extLst>
                    </a:blip>
                    <a:srcRect/>
                    <a:stretch>
                      <a:fillRect/>
                    </a:stretch>
                  </pic:blipFill>
                  <pic:spPr bwMode="auto">
                    <a:xfrm>
                      <a:off x="0" y="0"/>
                      <a:ext cx="2689860" cy="501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-3741420</wp:posOffset>
                </wp:positionH>
                <wp:positionV relativeFrom="paragraph">
                  <wp:posOffset>-730885</wp:posOffset>
                </wp:positionV>
                <wp:extent cx="6416675" cy="17780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177800"/>
                        </a:xfrm>
                        <a:prstGeom prst="rect">
                          <a:avLst/>
                        </a:prstGeom>
                        <a:solidFill>
                          <a:srgbClr val="E6E6E6"/>
                        </a:solidFill>
                      </wps:spPr>
                      <wps:bodyPr/>
                    </wps:wsp>
                  </a:graphicData>
                </a:graphic>
              </wp:anchor>
            </w:drawing>
          </mc:Choice>
          <mc:Fallback>
            <w:pict>
              <v:rect id="Shape 121" o:spid="_x0000_s1146" style="position:absolute;margin-left:-294.5999pt;margin-top:-57.5499pt;width:505.2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-3741420</wp:posOffset>
                </wp:positionH>
                <wp:positionV relativeFrom="paragraph">
                  <wp:posOffset>-374650</wp:posOffset>
                </wp:positionV>
                <wp:extent cx="6416675" cy="17843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178435"/>
                        </a:xfrm>
                        <a:prstGeom prst="rect">
                          <a:avLst/>
                        </a:prstGeom>
                        <a:solidFill>
                          <a:srgbClr val="E6E6E6"/>
                        </a:solidFill>
                      </wps:spPr>
                      <wps:bodyPr/>
                    </wps:wsp>
                  </a:graphicData>
                </a:graphic>
              </wp:anchor>
            </w:drawing>
          </mc:Choice>
          <mc:Fallback>
            <w:pict>
              <v:rect id="Shape 122" o:spid="_x0000_s1147" style="position:absolute;margin-left:-294.5999pt;margin-top:-29.4999pt;width:505.2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-10795</wp:posOffset>
            </wp:positionH>
            <wp:positionV relativeFrom="paragraph">
              <wp:posOffset>-43180</wp:posOffset>
            </wp:positionV>
            <wp:extent cx="2699385" cy="501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2">
                      <a:extLst>
                        <a:ext uri="{28A0092B-C50C-407E-A947-70E740481C1C}"/>
                      </a:extLst>
                    </a:blip>
                    <a:srcRect/>
                    <a:stretch>
                      <a:fillRect/>
                    </a:stretch>
                  </pic:blipFill>
                  <pic:spPr bwMode="auto">
                    <a:xfrm>
                      <a:off x="0" y="0"/>
                      <a:ext cx="2699385" cy="5016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5180" w:space="720"/>
            <w:col w:w="4220"/>
          </w:cols>
          <w:pgMar w:left="880" w:top="338" w:right="880" w:bottom="0" w:gutter="0" w:footer="0" w:header="0"/>
          <w:type w:val="continuous"/>
        </w:sect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880" w:h="15480" w:orient="portrait"/>
          <w:cols w:equalWidth="0" w:num="1">
            <w:col w:w="10120"/>
          </w:cols>
          <w:pgMar w:left="880" w:top="338" w:right="880" w:bottom="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8" w:lineRule="exact"/>
        <w:rPr>
          <w:sz w:val="20"/>
          <w:szCs w:val="20"/>
          <w:color w:val="auto"/>
        </w:rPr>
      </w:pPr>
    </w:p>
    <w:p>
      <w:pPr>
        <w:ind w:right="520" w:firstLine="709"/>
        <w:spacing w:after="0" w:line="276" w:lineRule="auto"/>
        <w:rPr>
          <w:sz w:val="20"/>
          <w:szCs w:val="20"/>
          <w:color w:val="auto"/>
        </w:rPr>
      </w:pPr>
      <w:r>
        <w:rPr>
          <w:rFonts w:ascii="Arial" w:cs="Arial" w:eastAsia="Arial" w:hAnsi="Arial"/>
          <w:sz w:val="20"/>
          <w:szCs w:val="20"/>
          <w:color w:val="auto"/>
        </w:rPr>
        <w:t>The following table presents Total Reportable Segment Adjusted EBITDA reconciled to income from operations before provision for income taxes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the years ended 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0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6E6E6"/>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71"/>
        </w:trPr>
        <w:tc>
          <w:tcPr>
            <w:tcW w:w="6000" w:type="dxa"/>
            <w:vAlign w:val="bottom"/>
            <w:shd w:val="clear" w:color="auto" w:fill="E6E6E6"/>
          </w:tcPr>
          <w:p>
            <w:pPr>
              <w:ind w:left="60"/>
              <w:spacing w:after="0"/>
              <w:rPr>
                <w:sz w:val="20"/>
                <w:szCs w:val="20"/>
                <w:color w:val="auto"/>
              </w:rPr>
            </w:pPr>
            <w:r>
              <w:rPr>
                <w:rFonts w:ascii="Arial" w:cs="Arial" w:eastAsia="Arial" w:hAnsi="Arial"/>
                <w:sz w:val="20"/>
                <w:szCs w:val="20"/>
                <w:color w:val="auto"/>
              </w:rPr>
              <w:t>Adjusted EBITDA:</w:t>
            </w:r>
          </w:p>
        </w:tc>
        <w:tc>
          <w:tcPr>
            <w:tcW w:w="28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440" w:type="dxa"/>
            <w:vAlign w:val="bottom"/>
            <w:shd w:val="clear" w:color="auto" w:fill="E6E6E6"/>
          </w:tcPr>
          <w:p>
            <w:pPr>
              <w:spacing w:after="0"/>
              <w:rPr>
                <w:sz w:val="23"/>
                <w:szCs w:val="23"/>
                <w:color w:val="auto"/>
              </w:rPr>
            </w:pPr>
          </w:p>
        </w:tc>
        <w:tc>
          <w:tcPr>
            <w:tcW w:w="8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00" w:type="dxa"/>
            <w:vAlign w:val="bottom"/>
          </w:tcPr>
          <w:p>
            <w:pPr>
              <w:ind w:left="420"/>
              <w:spacing w:after="0"/>
              <w:rPr>
                <w:sz w:val="20"/>
                <w:szCs w:val="20"/>
                <w:color w:val="auto"/>
              </w:rPr>
            </w:pPr>
            <w:r>
              <w:rPr>
                <w:rFonts w:ascii="Arial" w:cs="Arial" w:eastAsia="Arial" w:hAnsi="Arial"/>
                <w:sz w:val="20"/>
                <w:szCs w:val="20"/>
                <w:color w:val="auto"/>
              </w:rPr>
              <w:t>Environmental Services</w:t>
            </w: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1,267,462</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1,101,608</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953,053</w:t>
            </w:r>
          </w:p>
        </w:tc>
        <w:tc>
          <w:tcPr>
            <w:tcW w:w="0" w:type="dxa"/>
            <w:vAlign w:val="bottom"/>
          </w:tcPr>
          <w:p>
            <w:pPr>
              <w:spacing w:after="0"/>
              <w:rPr>
                <w:sz w:val="1"/>
                <w:szCs w:val="1"/>
                <w:color w:val="auto"/>
              </w:rPr>
            </w:pPr>
          </w:p>
        </w:tc>
      </w:tr>
      <w:tr>
        <w:trPr>
          <w:trHeight w:val="296"/>
        </w:trPr>
        <w:tc>
          <w:tcPr>
            <w:tcW w:w="600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20"/>
                <w:szCs w:val="20"/>
                <w:color w:val="auto"/>
              </w:rPr>
              <w:t>Safety-Kleen Sustainability Solutions</w:t>
            </w:r>
          </w:p>
        </w:tc>
        <w:tc>
          <w:tcPr>
            <w:tcW w:w="28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147,006</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172,873</w:t>
            </w:r>
          </w:p>
        </w:tc>
        <w:tc>
          <w:tcPr>
            <w:tcW w:w="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306,327</w:t>
            </w:r>
          </w:p>
        </w:tc>
        <w:tc>
          <w:tcPr>
            <w:tcW w:w="0" w:type="dxa"/>
            <w:vAlign w:val="bottom"/>
          </w:tcPr>
          <w:p>
            <w:pPr>
              <w:spacing w:after="0"/>
              <w:rPr>
                <w:sz w:val="1"/>
                <w:szCs w:val="1"/>
                <w:color w:val="auto"/>
              </w:rPr>
            </w:pPr>
          </w:p>
        </w:tc>
      </w:tr>
      <w:tr>
        <w:trPr>
          <w:trHeight w:val="241"/>
        </w:trPr>
        <w:tc>
          <w:tcPr>
            <w:tcW w:w="6000" w:type="dxa"/>
            <w:vAlign w:val="bottom"/>
            <w:tcBorders>
              <w:bottom w:val="single" w:sz="8" w:color="E6E6E6"/>
            </w:tcBorders>
          </w:tcPr>
          <w:p>
            <w:pPr>
              <w:ind w:left="200"/>
              <w:spacing w:after="0"/>
              <w:rPr>
                <w:sz w:val="20"/>
                <w:szCs w:val="20"/>
                <w:color w:val="auto"/>
              </w:rPr>
            </w:pPr>
            <w:r>
              <w:rPr>
                <w:rFonts w:ascii="Arial" w:cs="Arial" w:eastAsia="Arial" w:hAnsi="Arial"/>
                <w:sz w:val="20"/>
                <w:szCs w:val="20"/>
                <w:color w:val="auto"/>
              </w:rPr>
              <w:t>Total Reportable Segment Adjusted EBITDA</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1,414,468</w:t>
            </w:r>
          </w:p>
        </w:tc>
        <w:tc>
          <w:tcPr>
            <w:tcW w:w="8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1,274,481</w:t>
            </w:r>
          </w:p>
        </w:tc>
        <w:tc>
          <w:tcPr>
            <w:tcW w:w="60" w:type="dxa"/>
            <w:vAlign w:val="bottom"/>
            <w:tcBorders>
              <w:bottom w:val="single" w:sz="8" w:color="E6E6E6"/>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1,259,380</w:t>
            </w:r>
          </w:p>
        </w:tc>
        <w:tc>
          <w:tcPr>
            <w:tcW w:w="0" w:type="dxa"/>
            <w:vAlign w:val="bottom"/>
          </w:tcPr>
          <w:p>
            <w:pPr>
              <w:spacing w:after="0"/>
              <w:rPr>
                <w:sz w:val="1"/>
                <w:szCs w:val="1"/>
                <w:color w:val="auto"/>
              </w:rPr>
            </w:pPr>
          </w:p>
        </w:tc>
      </w:tr>
      <w:tr>
        <w:trPr>
          <w:trHeight w:val="271"/>
        </w:trPr>
        <w:tc>
          <w:tcPr>
            <w:tcW w:w="6000" w:type="dxa"/>
            <w:vAlign w:val="bottom"/>
            <w:shd w:val="clear" w:color="auto" w:fill="E6E6E6"/>
          </w:tcPr>
          <w:p>
            <w:pPr>
              <w:ind w:left="60"/>
              <w:spacing w:after="0"/>
              <w:rPr>
                <w:sz w:val="20"/>
                <w:szCs w:val="20"/>
                <w:color w:val="auto"/>
              </w:rPr>
            </w:pPr>
            <w:r>
              <w:rPr>
                <w:rFonts w:ascii="Arial" w:cs="Arial" w:eastAsia="Arial" w:hAnsi="Arial"/>
                <w:sz w:val="20"/>
                <w:szCs w:val="20"/>
                <w:color w:val="auto"/>
              </w:rPr>
              <w:t>Reconciliation to Consolidated Statements of Operations:</w:t>
            </w:r>
          </w:p>
        </w:tc>
        <w:tc>
          <w:tcPr>
            <w:tcW w:w="28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440" w:type="dxa"/>
            <w:vAlign w:val="bottom"/>
            <w:shd w:val="clear" w:color="auto" w:fill="E6E6E6"/>
          </w:tcPr>
          <w:p>
            <w:pPr>
              <w:spacing w:after="0"/>
              <w:rPr>
                <w:sz w:val="23"/>
                <w:szCs w:val="23"/>
                <w:color w:val="auto"/>
              </w:rPr>
            </w:pPr>
          </w:p>
        </w:tc>
        <w:tc>
          <w:tcPr>
            <w:tcW w:w="8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000" w:type="dxa"/>
            <w:vAlign w:val="bottom"/>
          </w:tcPr>
          <w:p>
            <w:pPr>
              <w:ind w:left="200"/>
              <w:spacing w:after="0" w:line="281" w:lineRule="exact"/>
              <w:rPr>
                <w:sz w:val="20"/>
                <w:szCs w:val="20"/>
                <w:color w:val="auto"/>
              </w:rPr>
            </w:pPr>
            <w:r>
              <w:rPr>
                <w:rFonts w:ascii="Arial" w:cs="Arial" w:eastAsia="Arial" w:hAnsi="Arial"/>
                <w:sz w:val="20"/>
                <w:szCs w:val="20"/>
                <w:color w:val="auto"/>
              </w:rPr>
              <w:t xml:space="preserve">Corporate Costs </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297,534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261,911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237,252</w:t>
            </w:r>
          </w:p>
        </w:tc>
        <w:tc>
          <w:tcPr>
            <w:tcW w:w="0" w:type="dxa"/>
            <w:vAlign w:val="bottom"/>
          </w:tcPr>
          <w:p>
            <w:pPr>
              <w:spacing w:after="0"/>
              <w:rPr>
                <w:sz w:val="1"/>
                <w:szCs w:val="1"/>
                <w:color w:val="auto"/>
              </w:rPr>
            </w:pPr>
          </w:p>
        </w:tc>
      </w:tr>
      <w:tr>
        <w:trPr>
          <w:trHeight w:val="281"/>
        </w:trPr>
        <w:tc>
          <w:tcPr>
            <w:tcW w:w="60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Accretion of environmental liabilities</w:t>
            </w: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13,456</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13,667</w:t>
            </w:r>
          </w:p>
        </w:tc>
        <w:tc>
          <w:tcPr>
            <w:tcW w:w="6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12,943</w:t>
            </w:r>
          </w:p>
        </w:tc>
        <w:tc>
          <w:tcPr>
            <w:tcW w:w="0" w:type="dxa"/>
            <w:vAlign w:val="bottom"/>
          </w:tcPr>
          <w:p>
            <w:pPr>
              <w:spacing w:after="0"/>
              <w:rPr>
                <w:sz w:val="1"/>
                <w:szCs w:val="1"/>
                <w:color w:val="auto"/>
              </w:rPr>
            </w:pPr>
          </w:p>
        </w:tc>
      </w:tr>
      <w:tr>
        <w:trPr>
          <w:trHeight w:val="275"/>
        </w:trPr>
        <w:tc>
          <w:tcPr>
            <w:tcW w:w="6000" w:type="dxa"/>
            <w:vAlign w:val="bottom"/>
          </w:tcPr>
          <w:p>
            <w:pPr>
              <w:ind w:left="200"/>
              <w:spacing w:after="0"/>
              <w:rPr>
                <w:sz w:val="20"/>
                <w:szCs w:val="20"/>
                <w:color w:val="auto"/>
              </w:rPr>
            </w:pPr>
            <w:r>
              <w:rPr>
                <w:rFonts w:ascii="Arial" w:cs="Arial" w:eastAsia="Arial" w:hAnsi="Arial"/>
                <w:sz w:val="20"/>
                <w:szCs w:val="20"/>
                <w:color w:val="auto"/>
              </w:rPr>
              <w:t>Stock-based compensation</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27,981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20,703</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26,844</w:t>
            </w:r>
          </w:p>
        </w:tc>
        <w:tc>
          <w:tcPr>
            <w:tcW w:w="0" w:type="dxa"/>
            <w:vAlign w:val="bottom"/>
          </w:tcPr>
          <w:p>
            <w:pPr>
              <w:spacing w:after="0"/>
              <w:rPr>
                <w:sz w:val="1"/>
                <w:szCs w:val="1"/>
                <w:color w:val="auto"/>
              </w:rPr>
            </w:pPr>
          </w:p>
        </w:tc>
      </w:tr>
      <w:tr>
        <w:trPr>
          <w:trHeight w:val="287"/>
        </w:trPr>
        <w:tc>
          <w:tcPr>
            <w:tcW w:w="60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Depreciation and amortization</w:t>
            </w: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400,922</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365,761</w:t>
            </w:r>
          </w:p>
        </w:tc>
        <w:tc>
          <w:tcPr>
            <w:tcW w:w="6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347,594</w:t>
            </w:r>
          </w:p>
        </w:tc>
        <w:tc>
          <w:tcPr>
            <w:tcW w:w="0" w:type="dxa"/>
            <w:vAlign w:val="bottom"/>
          </w:tcPr>
          <w:p>
            <w:pPr>
              <w:spacing w:after="0"/>
              <w:rPr>
                <w:sz w:val="1"/>
                <w:szCs w:val="1"/>
                <w:color w:val="auto"/>
              </w:rPr>
            </w:pPr>
          </w:p>
        </w:tc>
      </w:tr>
      <w:tr>
        <w:trPr>
          <w:trHeight w:val="271"/>
        </w:trPr>
        <w:tc>
          <w:tcPr>
            <w:tcW w:w="6000" w:type="dxa"/>
            <w:vAlign w:val="bottom"/>
            <w:tcBorders>
              <w:bottom w:val="single" w:sz="8" w:color="E6E6E6"/>
            </w:tcBorders>
          </w:tcPr>
          <w:p>
            <w:pPr>
              <w:ind w:left="200"/>
              <w:spacing w:after="0"/>
              <w:rPr>
                <w:sz w:val="20"/>
                <w:szCs w:val="20"/>
                <w:color w:val="auto"/>
              </w:rPr>
            </w:pPr>
            <w:r>
              <w:rPr>
                <w:rFonts w:ascii="Arial" w:cs="Arial" w:eastAsia="Arial" w:hAnsi="Arial"/>
                <w:sz w:val="20"/>
                <w:szCs w:val="20"/>
                <w:color w:val="auto"/>
              </w:rPr>
              <w:t>Kimball startup costs</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4,343</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1"/>
        </w:trPr>
        <w:tc>
          <w:tcPr>
            <w:tcW w:w="60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Income from operations</w:t>
            </w:r>
          </w:p>
        </w:tc>
        <w:tc>
          <w:tcPr>
            <w:tcW w:w="280" w:type="dxa"/>
            <w:vAlign w:val="bottom"/>
            <w:shd w:val="clear" w:color="auto" w:fill="E6E6E6"/>
          </w:tcPr>
          <w:p>
            <w:pPr>
              <w:spacing w:after="0"/>
              <w:rPr>
                <w:sz w:val="23"/>
                <w:szCs w:val="23"/>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670,232</w:t>
            </w: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612,439</w:t>
            </w:r>
          </w:p>
        </w:tc>
        <w:tc>
          <w:tcPr>
            <w:tcW w:w="60" w:type="dxa"/>
            <w:vAlign w:val="bottom"/>
            <w:shd w:val="clear" w:color="auto" w:fill="E6E6E6"/>
          </w:tcPr>
          <w:p>
            <w:pPr>
              <w:spacing w:after="0"/>
              <w:rPr>
                <w:sz w:val="23"/>
                <w:szCs w:val="23"/>
                <w:color w:val="auto"/>
              </w:rPr>
            </w:pPr>
          </w:p>
        </w:tc>
        <w:tc>
          <w:tcPr>
            <w:tcW w:w="440" w:type="dxa"/>
            <w:vAlign w:val="bottom"/>
            <w:shd w:val="clear" w:color="auto" w:fill="E6E6E6"/>
          </w:tcPr>
          <w:p>
            <w:pPr>
              <w:spacing w:after="0"/>
              <w:rPr>
                <w:sz w:val="23"/>
                <w:szCs w:val="23"/>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634,747</w:t>
            </w:r>
          </w:p>
        </w:tc>
        <w:tc>
          <w:tcPr>
            <w:tcW w:w="0" w:type="dxa"/>
            <w:vAlign w:val="bottom"/>
          </w:tcPr>
          <w:p>
            <w:pPr>
              <w:spacing w:after="0"/>
              <w:rPr>
                <w:sz w:val="1"/>
                <w:szCs w:val="1"/>
                <w:color w:val="auto"/>
              </w:rPr>
            </w:pPr>
          </w:p>
        </w:tc>
      </w:tr>
      <w:tr>
        <w:trPr>
          <w:trHeight w:val="275"/>
        </w:trPr>
        <w:tc>
          <w:tcPr>
            <w:tcW w:w="6000" w:type="dxa"/>
            <w:vAlign w:val="bottom"/>
          </w:tcPr>
          <w:p>
            <w:pPr>
              <w:ind w:left="200"/>
              <w:spacing w:after="0"/>
              <w:rPr>
                <w:sz w:val="20"/>
                <w:szCs w:val="20"/>
                <w:color w:val="auto"/>
              </w:rPr>
            </w:pPr>
            <w:r>
              <w:rPr>
                <w:rFonts w:ascii="Arial" w:cs="Arial" w:eastAsia="Arial" w:hAnsi="Arial"/>
                <w:sz w:val="20"/>
                <w:szCs w:val="20"/>
                <w:color w:val="auto"/>
              </w:rPr>
              <w:t>Other expense (income), net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1,454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(2,315)</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(2,472)</w:t>
            </w:r>
          </w:p>
        </w:tc>
        <w:tc>
          <w:tcPr>
            <w:tcW w:w="0" w:type="dxa"/>
            <w:vAlign w:val="bottom"/>
          </w:tcPr>
          <w:p>
            <w:pPr>
              <w:spacing w:after="0"/>
              <w:rPr>
                <w:sz w:val="1"/>
                <w:szCs w:val="1"/>
                <w:color w:val="auto"/>
              </w:rPr>
            </w:pPr>
          </w:p>
        </w:tc>
      </w:tr>
      <w:tr>
        <w:trPr>
          <w:trHeight w:val="287"/>
        </w:trPr>
        <w:tc>
          <w:tcPr>
            <w:tcW w:w="60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Loss on early extinguishment of debt</w:t>
            </w: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371</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2,880</w:t>
            </w:r>
          </w:p>
        </w:tc>
        <w:tc>
          <w:tcPr>
            <w:tcW w:w="6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422</w:t>
            </w:r>
          </w:p>
        </w:tc>
        <w:tc>
          <w:tcPr>
            <w:tcW w:w="0" w:type="dxa"/>
            <w:vAlign w:val="bottom"/>
          </w:tcPr>
          <w:p>
            <w:pPr>
              <w:spacing w:after="0"/>
              <w:rPr>
                <w:sz w:val="1"/>
                <w:szCs w:val="1"/>
                <w:color w:val="auto"/>
              </w:rPr>
            </w:pPr>
          </w:p>
        </w:tc>
      </w:tr>
      <w:tr>
        <w:trPr>
          <w:trHeight w:val="275"/>
        </w:trPr>
        <w:tc>
          <w:tcPr>
            <w:tcW w:w="6000" w:type="dxa"/>
            <w:vAlign w:val="bottom"/>
          </w:tcPr>
          <w:p>
            <w:pPr>
              <w:ind w:left="200"/>
              <w:spacing w:after="0"/>
              <w:rPr>
                <w:sz w:val="20"/>
                <w:szCs w:val="20"/>
                <w:color w:val="auto"/>
              </w:rPr>
            </w:pPr>
            <w:r>
              <w:rPr>
                <w:rFonts w:ascii="Arial" w:cs="Arial" w:eastAsia="Arial" w:hAnsi="Arial"/>
                <w:sz w:val="20"/>
                <w:szCs w:val="20"/>
                <w:color w:val="auto"/>
              </w:rPr>
              <w:t>Gain on sale of business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(8,864)</w:t>
            </w:r>
          </w:p>
        </w:tc>
        <w:tc>
          <w:tcPr>
            <w:tcW w:w="0" w:type="dxa"/>
            <w:vAlign w:val="bottom"/>
          </w:tcPr>
          <w:p>
            <w:pPr>
              <w:spacing w:after="0"/>
              <w:rPr>
                <w:sz w:val="1"/>
                <w:szCs w:val="1"/>
                <w:color w:val="auto"/>
              </w:rPr>
            </w:pPr>
          </w:p>
        </w:tc>
      </w:tr>
      <w:tr>
        <w:trPr>
          <w:trHeight w:val="296"/>
        </w:trPr>
        <w:tc>
          <w:tcPr>
            <w:tcW w:w="600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20"/>
                <w:szCs w:val="20"/>
                <w:color w:val="auto"/>
              </w:rPr>
              <w:t>Interest expense, net of interest income</w:t>
            </w:r>
          </w:p>
        </w:tc>
        <w:tc>
          <w:tcPr>
            <w:tcW w:w="28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134,964</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108,595</w:t>
            </w:r>
          </w:p>
        </w:tc>
        <w:tc>
          <w:tcPr>
            <w:tcW w:w="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107,663</w:t>
            </w:r>
          </w:p>
        </w:tc>
        <w:tc>
          <w:tcPr>
            <w:tcW w:w="0" w:type="dxa"/>
            <w:vAlign w:val="bottom"/>
          </w:tcPr>
          <w:p>
            <w:pPr>
              <w:spacing w:after="0"/>
              <w:rPr>
                <w:sz w:val="1"/>
                <w:szCs w:val="1"/>
                <w:color w:val="auto"/>
              </w:rPr>
            </w:pPr>
          </w:p>
        </w:tc>
      </w:tr>
      <w:tr>
        <w:trPr>
          <w:trHeight w:val="222"/>
        </w:trPr>
        <w:tc>
          <w:tcPr>
            <w:tcW w:w="6000" w:type="dxa"/>
            <w:vAlign w:val="bottom"/>
          </w:tcPr>
          <w:p>
            <w:pPr>
              <w:ind w:left="280"/>
              <w:spacing w:after="0" w:line="222" w:lineRule="exact"/>
              <w:rPr>
                <w:sz w:val="20"/>
                <w:szCs w:val="20"/>
                <w:color w:val="auto"/>
              </w:rPr>
            </w:pPr>
            <w:r>
              <w:rPr>
                <w:rFonts w:ascii="Arial" w:cs="Arial" w:eastAsia="Arial" w:hAnsi="Arial"/>
                <w:sz w:val="20"/>
                <w:szCs w:val="20"/>
                <w:color w:val="auto"/>
              </w:rPr>
              <w:t>Income from operations before provision for income taxes</w:t>
            </w:r>
          </w:p>
        </w:tc>
        <w:tc>
          <w:tcPr>
            <w:tcW w:w="280" w:type="dxa"/>
            <w:vAlign w:val="bottom"/>
          </w:tcPr>
          <w:p>
            <w:pPr>
              <w:jc w:val="right"/>
              <w:ind w:right="41"/>
              <w:spacing w:after="0" w:line="222"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22" w:lineRule="exact"/>
              <w:rPr>
                <w:sz w:val="20"/>
                <w:szCs w:val="20"/>
                <w:color w:val="auto"/>
              </w:rPr>
            </w:pPr>
            <w:r>
              <w:rPr>
                <w:rFonts w:ascii="Arial" w:cs="Arial" w:eastAsia="Arial" w:hAnsi="Arial"/>
                <w:sz w:val="20"/>
                <w:szCs w:val="20"/>
                <w:color w:val="auto"/>
              </w:rPr>
              <w:t>533,443</w:t>
            </w:r>
          </w:p>
        </w:tc>
        <w:tc>
          <w:tcPr>
            <w:tcW w:w="380" w:type="dxa"/>
            <w:vAlign w:val="bottom"/>
            <w:gridSpan w:val="2"/>
          </w:tcPr>
          <w:p>
            <w:pPr>
              <w:jc w:val="right"/>
              <w:ind w:right="140"/>
              <w:spacing w:after="0" w:line="222"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22" w:lineRule="exact"/>
              <w:rPr>
                <w:sz w:val="20"/>
                <w:szCs w:val="20"/>
                <w:color w:val="auto"/>
              </w:rPr>
            </w:pPr>
            <w:r>
              <w:rPr>
                <w:rFonts w:ascii="Arial" w:cs="Arial" w:eastAsia="Arial" w:hAnsi="Arial"/>
                <w:sz w:val="20"/>
                <w:szCs w:val="20"/>
                <w:color w:val="auto"/>
              </w:rPr>
              <w:t>503,279</w:t>
            </w:r>
          </w:p>
        </w:tc>
        <w:tc>
          <w:tcPr>
            <w:tcW w:w="500" w:type="dxa"/>
            <w:vAlign w:val="bottom"/>
            <w:gridSpan w:val="2"/>
          </w:tcPr>
          <w:p>
            <w:pPr>
              <w:jc w:val="right"/>
              <w:ind w:right="280"/>
              <w:spacing w:after="0" w:line="222" w:lineRule="exact"/>
              <w:rPr>
                <w:sz w:val="20"/>
                <w:szCs w:val="20"/>
                <w:color w:val="auto"/>
              </w:rPr>
            </w:pPr>
            <w:r>
              <w:rPr>
                <w:rFonts w:ascii="Arial" w:cs="Arial" w:eastAsia="Arial" w:hAnsi="Arial"/>
                <w:sz w:val="20"/>
                <w:szCs w:val="20"/>
                <w:color w:val="auto"/>
              </w:rPr>
              <w:t>$</w:t>
            </w:r>
          </w:p>
        </w:tc>
        <w:tc>
          <w:tcPr>
            <w:tcW w:w="880" w:type="dxa"/>
            <w:vAlign w:val="bottom"/>
          </w:tcPr>
          <w:p>
            <w:pPr>
              <w:jc w:val="right"/>
              <w:spacing w:after="0" w:line="222" w:lineRule="exact"/>
              <w:rPr>
                <w:sz w:val="20"/>
                <w:szCs w:val="20"/>
                <w:color w:val="auto"/>
              </w:rPr>
            </w:pPr>
            <w:r>
              <w:rPr>
                <w:rFonts w:ascii="Arial" w:cs="Arial" w:eastAsia="Arial" w:hAnsi="Arial"/>
                <w:sz w:val="20"/>
                <w:szCs w:val="20"/>
                <w:color w:val="auto"/>
              </w:rPr>
              <w:t>537,998</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-187960</wp:posOffset>
            </wp:positionV>
            <wp:extent cx="2624455" cy="501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3">
                      <a:extLst>
                        <a:ext uri="{28A0092B-C50C-407E-A947-70E740481C1C}"/>
                      </a:extLst>
                    </a:blip>
                    <a:srcRect/>
                    <a:stretch>
                      <a:fillRect/>
                    </a:stretch>
                  </pic:blipFill>
                  <pic:spPr bwMode="auto">
                    <a:xfrm>
                      <a:off x="0" y="0"/>
                      <a:ext cx="2624455" cy="50165"/>
                    </a:xfrm>
                    <a:prstGeom prst="rect">
                      <a:avLst/>
                    </a:prstGeom>
                    <a:noFill/>
                  </pic:spPr>
                </pic:pic>
              </a:graphicData>
            </a:graphic>
          </wp:anchor>
        </w:drawing>
      </w:r>
    </w:p>
    <w:p>
      <w:pPr>
        <w:jc w:val="both"/>
        <w:ind w:left="720" w:right="200" w:hanging="358"/>
        <w:spacing w:after="0" w:line="281" w:lineRule="auto"/>
        <w:tabs>
          <w:tab w:leader="none" w:pos="743" w:val="left"/>
        </w:tabs>
        <w:numPr>
          <w:ilvl w:val="0"/>
          <w:numId w:val="31"/>
        </w:numPr>
        <w:rPr>
          <w:rFonts w:ascii="Arial" w:cs="Arial" w:eastAsia="Arial" w:hAnsi="Arial"/>
          <w:sz w:val="19"/>
          <w:szCs w:val="19"/>
          <w:color w:val="auto"/>
        </w:rPr>
      </w:pPr>
      <w:r>
        <w:rPr>
          <w:rFonts w:ascii="Arial" w:cs="Arial" w:eastAsia="Arial" w:hAnsi="Arial"/>
          <w:sz w:val="19"/>
          <w:szCs w:val="19"/>
          <w:color w:val="auto"/>
        </w:rPr>
        <w:t>Corporate Costs include the revenue, cost of revenues and selling, general and administrative expenses not managed through the Company’s operating segments. These costs are not captured within the Company’s Reportable Segment Adjusted EBITDA but are included in the Company’s total Adjusted EBITDA balances.</w:t>
      </w:r>
    </w:p>
    <w:p>
      <w:pPr>
        <w:spacing w:after="0" w:line="9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following table presents assets by reported segment and in the aggregate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Borders>
              <w:bottom w:val="single" w:sz="8" w:color="E6E6E6"/>
            </w:tcBorders>
          </w:tcPr>
          <w:p>
            <w:pPr>
              <w:spacing w:after="0"/>
              <w:rPr>
                <w:sz w:val="18"/>
                <w:szCs w:val="18"/>
                <w:color w:val="auto"/>
              </w:rPr>
            </w:pPr>
          </w:p>
        </w:tc>
        <w:tc>
          <w:tcPr>
            <w:tcW w:w="15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5"/>
              </w:rPr>
              <w:t>December 31, 2024</w:t>
            </w:r>
          </w:p>
        </w:tc>
        <w:tc>
          <w:tcPr>
            <w:tcW w:w="80" w:type="dxa"/>
            <w:vAlign w:val="bottom"/>
            <w:tcBorders>
              <w:bottom w:val="single" w:sz="8" w:color="E6E6E6"/>
            </w:tcBorders>
          </w:tcPr>
          <w:p>
            <w:pPr>
              <w:spacing w:after="0"/>
              <w:rPr>
                <w:sz w:val="18"/>
                <w:szCs w:val="18"/>
                <w:color w:val="auto"/>
              </w:rPr>
            </w:pPr>
          </w:p>
        </w:tc>
        <w:tc>
          <w:tcPr>
            <w:tcW w:w="15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w w:val="94"/>
              </w:rPr>
              <w:t>December 31, 2023</w:t>
            </w:r>
          </w:p>
        </w:tc>
      </w:tr>
      <w:tr>
        <w:trPr>
          <w:trHeight w:val="227"/>
        </w:trPr>
        <w:tc>
          <w:tcPr>
            <w:tcW w:w="7000" w:type="dxa"/>
            <w:vAlign w:val="bottom"/>
            <w:shd w:val="clear" w:color="auto" w:fill="E6E6E6"/>
          </w:tcPr>
          <w:p>
            <w:pPr>
              <w:ind w:left="60"/>
              <w:spacing w:after="0" w:line="227" w:lineRule="exact"/>
              <w:rPr>
                <w:sz w:val="20"/>
                <w:szCs w:val="20"/>
                <w:color w:val="auto"/>
              </w:rPr>
            </w:pPr>
            <w:r>
              <w:rPr>
                <w:rFonts w:ascii="Arial" w:cs="Arial" w:eastAsia="Arial" w:hAnsi="Arial"/>
                <w:sz w:val="20"/>
                <w:szCs w:val="20"/>
                <w:b w:val="1"/>
                <w:bCs w:val="1"/>
                <w:color w:val="auto"/>
              </w:rPr>
              <w:t>Property, plant and equipment, net</w:t>
            </w:r>
          </w:p>
        </w:tc>
        <w:tc>
          <w:tcPr>
            <w:tcW w:w="400" w:type="dxa"/>
            <w:vAlign w:val="bottom"/>
            <w:shd w:val="clear" w:color="auto" w:fill="E6E6E6"/>
          </w:tcPr>
          <w:p>
            <w:pPr>
              <w:spacing w:after="0"/>
              <w:rPr>
                <w:sz w:val="19"/>
                <w:szCs w:val="19"/>
                <w:color w:val="auto"/>
              </w:rPr>
            </w:pPr>
          </w:p>
        </w:tc>
        <w:tc>
          <w:tcPr>
            <w:tcW w:w="11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1120" w:type="dxa"/>
            <w:vAlign w:val="bottom"/>
            <w:shd w:val="clear" w:color="auto" w:fill="E6E6E6"/>
          </w:tcPr>
          <w:p>
            <w:pPr>
              <w:spacing w:after="0"/>
              <w:rPr>
                <w:sz w:val="19"/>
                <w:szCs w:val="19"/>
                <w:color w:val="auto"/>
              </w:rPr>
            </w:pPr>
          </w:p>
        </w:tc>
      </w:tr>
      <w:tr>
        <w:trPr>
          <w:trHeight w:val="236"/>
        </w:trPr>
        <w:tc>
          <w:tcPr>
            <w:tcW w:w="7000" w:type="dxa"/>
            <w:vAlign w:val="bottom"/>
          </w:tcPr>
          <w:p>
            <w:pPr>
              <w:ind w:left="200"/>
              <w:spacing w:after="0"/>
              <w:rPr>
                <w:sz w:val="20"/>
                <w:szCs w:val="20"/>
                <w:color w:val="auto"/>
              </w:rPr>
            </w:pPr>
            <w:r>
              <w:rPr>
                <w:rFonts w:ascii="Arial" w:cs="Arial" w:eastAsia="Arial" w:hAnsi="Arial"/>
                <w:sz w:val="20"/>
                <w:szCs w:val="20"/>
                <w:color w:val="auto"/>
              </w:rPr>
              <w:t>Environmental Services</w:t>
            </w:r>
          </w:p>
        </w:tc>
        <w:tc>
          <w:tcPr>
            <w:tcW w:w="400" w:type="dxa"/>
            <w:vAlign w:val="bottom"/>
          </w:tcPr>
          <w:p>
            <w:pPr>
              <w:jc w:val="right"/>
              <w:ind w:right="165"/>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1,865,611</w:t>
            </w:r>
          </w:p>
        </w:tc>
        <w:tc>
          <w:tcPr>
            <w:tcW w:w="480" w:type="dxa"/>
            <w:vAlign w:val="bottom"/>
            <w:gridSpan w:val="2"/>
          </w:tcPr>
          <w:p>
            <w:pPr>
              <w:jc w:val="right"/>
              <w:ind w:right="17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1,651,026</w:t>
            </w:r>
          </w:p>
        </w:tc>
      </w:tr>
      <w:tr>
        <w:trPr>
          <w:trHeight w:val="236"/>
        </w:trPr>
        <w:tc>
          <w:tcPr>
            <w:tcW w:w="70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Safety-Kleen Sustainability Solutions</w:t>
            </w:r>
          </w:p>
        </w:tc>
        <w:tc>
          <w:tcPr>
            <w:tcW w:w="400" w:type="dxa"/>
            <w:vAlign w:val="bottom"/>
            <w:shd w:val="clear" w:color="auto" w:fill="E6E6E6"/>
          </w:tcPr>
          <w:p>
            <w:pPr>
              <w:spacing w:after="0"/>
              <w:rPr>
                <w:sz w:val="20"/>
                <w:szCs w:val="20"/>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463,538</w:t>
            </w:r>
          </w:p>
        </w:tc>
        <w:tc>
          <w:tcPr>
            <w:tcW w:w="8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411,415</w:t>
            </w:r>
          </w:p>
        </w:tc>
      </w:tr>
      <w:tr>
        <w:trPr>
          <w:trHeight w:val="227"/>
        </w:trPr>
        <w:tc>
          <w:tcPr>
            <w:tcW w:w="7000" w:type="dxa"/>
            <w:vAlign w:val="bottom"/>
            <w:tcBorders>
              <w:bottom w:val="single" w:sz="8" w:color="E6E6E6"/>
            </w:tcBorders>
          </w:tcPr>
          <w:p>
            <w:pPr>
              <w:ind w:left="200"/>
              <w:spacing w:after="0" w:line="227" w:lineRule="exact"/>
              <w:rPr>
                <w:sz w:val="20"/>
                <w:szCs w:val="20"/>
                <w:color w:val="auto"/>
              </w:rPr>
            </w:pPr>
            <w:r>
              <w:rPr>
                <w:rFonts w:ascii="Arial" w:cs="Arial" w:eastAsia="Arial" w:hAnsi="Arial"/>
                <w:sz w:val="20"/>
                <w:szCs w:val="20"/>
                <w:color w:val="auto"/>
              </w:rPr>
              <w:t>Corporate</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color w:val="auto"/>
              </w:rPr>
              <w:t>118,792</w:t>
            </w:r>
          </w:p>
        </w:tc>
        <w:tc>
          <w:tcPr>
            <w:tcW w:w="80" w:type="dxa"/>
            <w:vAlign w:val="bottom"/>
            <w:tcBorders>
              <w:bottom w:val="single" w:sz="8" w:color="E6E6E6"/>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color w:val="auto"/>
              </w:rPr>
              <w:t>130,877</w:t>
            </w:r>
          </w:p>
        </w:tc>
      </w:tr>
      <w:tr>
        <w:trPr>
          <w:trHeight w:val="236"/>
        </w:trPr>
        <w:tc>
          <w:tcPr>
            <w:tcW w:w="7000" w:type="dxa"/>
            <w:vAlign w:val="bottom"/>
            <w:tcBorders>
              <w:bottom w:val="single" w:sz="8" w:color="E6E6E6"/>
            </w:tcBorders>
            <w:shd w:val="clear" w:color="auto" w:fill="E6E6E6"/>
          </w:tcPr>
          <w:p>
            <w:pPr>
              <w:ind w:left="280"/>
              <w:spacing w:after="0" w:line="197" w:lineRule="exact"/>
              <w:rPr>
                <w:sz w:val="20"/>
                <w:szCs w:val="20"/>
                <w:color w:val="auto"/>
              </w:rPr>
            </w:pPr>
            <w:r>
              <w:rPr>
                <w:rFonts w:ascii="Arial" w:cs="Arial" w:eastAsia="Arial" w:hAnsi="Arial"/>
                <w:sz w:val="20"/>
                <w:szCs w:val="20"/>
                <w:color w:val="auto"/>
              </w:rPr>
              <w:t>Total property, plant and equipment, net</w:t>
            </w:r>
          </w:p>
        </w:tc>
        <w:tc>
          <w:tcPr>
            <w:tcW w:w="400" w:type="dxa"/>
            <w:vAlign w:val="bottom"/>
            <w:tcBorders>
              <w:bottom w:val="single" w:sz="8" w:color="auto"/>
            </w:tcBorders>
            <w:shd w:val="clear" w:color="auto" w:fill="E6E6E6"/>
          </w:tcPr>
          <w:p>
            <w:pPr>
              <w:jc w:val="right"/>
              <w:ind w:right="165"/>
              <w:spacing w:after="0" w:line="197"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line="197" w:lineRule="exact"/>
              <w:rPr>
                <w:sz w:val="20"/>
                <w:szCs w:val="20"/>
                <w:color w:val="auto"/>
              </w:rPr>
            </w:pPr>
            <w:r>
              <w:rPr>
                <w:rFonts w:ascii="Arial" w:cs="Arial" w:eastAsia="Arial" w:hAnsi="Arial"/>
                <w:sz w:val="20"/>
                <w:szCs w:val="20"/>
                <w:color w:val="auto"/>
              </w:rPr>
              <w:t>2,447,941</w:t>
            </w:r>
          </w:p>
        </w:tc>
        <w:tc>
          <w:tcPr>
            <w:tcW w:w="80" w:type="dxa"/>
            <w:vAlign w:val="bottom"/>
            <w:tcBorders>
              <w:bottom w:val="single" w:sz="8" w:color="E6E6E6"/>
            </w:tcBorders>
            <w:shd w:val="clear" w:color="auto" w:fill="E6E6E6"/>
          </w:tcPr>
          <w:p>
            <w:pPr>
              <w:spacing w:after="0"/>
              <w:rPr>
                <w:sz w:val="20"/>
                <w:szCs w:val="20"/>
                <w:color w:val="auto"/>
              </w:rPr>
            </w:pPr>
          </w:p>
        </w:tc>
        <w:tc>
          <w:tcPr>
            <w:tcW w:w="400" w:type="dxa"/>
            <w:vAlign w:val="bottom"/>
            <w:tcBorders>
              <w:bottom w:val="single" w:sz="8" w:color="auto"/>
            </w:tcBorders>
            <w:shd w:val="clear" w:color="auto" w:fill="E6E6E6"/>
          </w:tcPr>
          <w:p>
            <w:pPr>
              <w:jc w:val="right"/>
              <w:ind w:right="171"/>
              <w:spacing w:after="0" w:line="197"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line="197" w:lineRule="exact"/>
              <w:rPr>
                <w:sz w:val="20"/>
                <w:szCs w:val="20"/>
                <w:color w:val="auto"/>
              </w:rPr>
            </w:pPr>
            <w:r>
              <w:rPr>
                <w:rFonts w:ascii="Arial" w:cs="Arial" w:eastAsia="Arial" w:hAnsi="Arial"/>
                <w:sz w:val="20"/>
                <w:szCs w:val="20"/>
                <w:color w:val="auto"/>
              </w:rPr>
              <w:t>2,193,318</w:t>
            </w:r>
          </w:p>
        </w:tc>
      </w:tr>
      <w:tr>
        <w:trPr>
          <w:trHeight w:val="207"/>
        </w:trPr>
        <w:tc>
          <w:tcPr>
            <w:tcW w:w="7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700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Goodwill and Permits and other intangibles, net</w:t>
            </w:r>
          </w:p>
        </w:tc>
        <w:tc>
          <w:tcPr>
            <w:tcW w:w="400" w:type="dxa"/>
            <w:vAlign w:val="bottom"/>
            <w:shd w:val="clear" w:color="auto" w:fill="E6E6E6"/>
          </w:tcPr>
          <w:p>
            <w:pPr>
              <w:spacing w:after="0"/>
              <w:rPr>
                <w:sz w:val="20"/>
                <w:szCs w:val="20"/>
                <w:color w:val="auto"/>
              </w:rPr>
            </w:pPr>
          </w:p>
        </w:tc>
        <w:tc>
          <w:tcPr>
            <w:tcW w:w="11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120" w:type="dxa"/>
            <w:vAlign w:val="bottom"/>
            <w:shd w:val="clear" w:color="auto" w:fill="E6E6E6"/>
          </w:tcPr>
          <w:p>
            <w:pPr>
              <w:spacing w:after="0"/>
              <w:rPr>
                <w:sz w:val="20"/>
                <w:szCs w:val="20"/>
                <w:color w:val="auto"/>
              </w:rPr>
            </w:pPr>
          </w:p>
        </w:tc>
      </w:tr>
      <w:tr>
        <w:trPr>
          <w:trHeight w:val="236"/>
        </w:trPr>
        <w:tc>
          <w:tcPr>
            <w:tcW w:w="7000" w:type="dxa"/>
            <w:vAlign w:val="bottom"/>
          </w:tcPr>
          <w:p>
            <w:pPr>
              <w:ind w:left="60"/>
              <w:spacing w:after="0"/>
              <w:rPr>
                <w:sz w:val="20"/>
                <w:szCs w:val="20"/>
                <w:color w:val="auto"/>
              </w:rPr>
            </w:pPr>
            <w:r>
              <w:rPr>
                <w:rFonts w:ascii="Arial" w:cs="Arial" w:eastAsia="Arial" w:hAnsi="Arial"/>
                <w:sz w:val="20"/>
                <w:szCs w:val="20"/>
                <w:color w:val="auto"/>
              </w:rPr>
              <w:t>Environmental Services</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7000" w:type="dxa"/>
            <w:vAlign w:val="bottom"/>
            <w:shd w:val="clear" w:color="auto" w:fill="E6E6E6"/>
          </w:tcPr>
          <w:p>
            <w:pPr>
              <w:ind w:left="200"/>
              <w:spacing w:after="0"/>
              <w:rPr>
                <w:sz w:val="20"/>
                <w:szCs w:val="20"/>
                <w:color w:val="auto"/>
              </w:rPr>
            </w:pPr>
            <w:r>
              <w:rPr>
                <w:rFonts w:ascii="Arial" w:cs="Arial" w:eastAsia="Arial" w:hAnsi="Arial"/>
                <w:sz w:val="20"/>
                <w:szCs w:val="20"/>
                <w:color w:val="auto"/>
              </w:rPr>
              <w:t>Goodwill</w:t>
            </w:r>
          </w:p>
        </w:tc>
        <w:tc>
          <w:tcPr>
            <w:tcW w:w="400" w:type="dxa"/>
            <w:vAlign w:val="bottom"/>
            <w:shd w:val="clear" w:color="auto" w:fill="E6E6E6"/>
          </w:tcPr>
          <w:p>
            <w:pPr>
              <w:jc w:val="right"/>
              <w:ind w:right="165"/>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1,296,204</w:t>
            </w:r>
          </w:p>
        </w:tc>
        <w:tc>
          <w:tcPr>
            <w:tcW w:w="480" w:type="dxa"/>
            <w:vAlign w:val="bottom"/>
            <w:gridSpan w:val="2"/>
            <w:shd w:val="clear" w:color="auto" w:fill="E6E6E6"/>
          </w:tcPr>
          <w:p>
            <w:pPr>
              <w:jc w:val="right"/>
              <w:ind w:right="171"/>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1,112,013</w:t>
            </w:r>
          </w:p>
        </w:tc>
      </w:tr>
      <w:tr>
        <w:trPr>
          <w:trHeight w:val="227"/>
        </w:trPr>
        <w:tc>
          <w:tcPr>
            <w:tcW w:w="7000" w:type="dxa"/>
            <w:vAlign w:val="bottom"/>
            <w:tcBorders>
              <w:bottom w:val="single" w:sz="8" w:color="E6E6E6"/>
            </w:tcBorders>
          </w:tcPr>
          <w:p>
            <w:pPr>
              <w:ind w:left="200"/>
              <w:spacing w:after="0" w:line="227" w:lineRule="exact"/>
              <w:rPr>
                <w:sz w:val="20"/>
                <w:szCs w:val="20"/>
                <w:color w:val="auto"/>
              </w:rPr>
            </w:pPr>
            <w:r>
              <w:rPr>
                <w:rFonts w:ascii="Arial" w:cs="Arial" w:eastAsia="Arial" w:hAnsi="Arial"/>
                <w:sz w:val="20"/>
                <w:szCs w:val="20"/>
                <w:color w:val="auto"/>
              </w:rPr>
              <w:t>Permits and other intangibles, net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color w:val="auto"/>
              </w:rPr>
              <w:t>549,482</w:t>
            </w:r>
          </w:p>
        </w:tc>
        <w:tc>
          <w:tcPr>
            <w:tcW w:w="80" w:type="dxa"/>
            <w:vAlign w:val="bottom"/>
            <w:tcBorders>
              <w:bottom w:val="single" w:sz="8" w:color="E6E6E6"/>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color w:val="auto"/>
              </w:rPr>
              <w:t>454,919</w:t>
            </w:r>
          </w:p>
        </w:tc>
      </w:tr>
      <w:tr>
        <w:trPr>
          <w:trHeight w:val="216"/>
        </w:trPr>
        <w:tc>
          <w:tcPr>
            <w:tcW w:w="7000" w:type="dxa"/>
            <w:vAlign w:val="bottom"/>
            <w:tcBorders>
              <w:bottom w:val="single" w:sz="8" w:color="E6E6E6"/>
            </w:tcBorders>
            <w:shd w:val="clear" w:color="auto" w:fill="E6E6E6"/>
          </w:tcPr>
          <w:p>
            <w:pPr>
              <w:ind w:left="280"/>
              <w:spacing w:after="0" w:line="216" w:lineRule="exact"/>
              <w:rPr>
                <w:sz w:val="20"/>
                <w:szCs w:val="20"/>
                <w:color w:val="auto"/>
              </w:rPr>
            </w:pPr>
            <w:r>
              <w:rPr>
                <w:rFonts w:ascii="Arial" w:cs="Arial" w:eastAsia="Arial" w:hAnsi="Arial"/>
                <w:sz w:val="20"/>
                <w:szCs w:val="20"/>
                <w:color w:val="auto"/>
              </w:rPr>
              <w:t>Total Environmental Services</w:t>
            </w:r>
          </w:p>
        </w:tc>
        <w:tc>
          <w:tcPr>
            <w:tcW w:w="400" w:type="dxa"/>
            <w:vAlign w:val="bottom"/>
            <w:tcBorders>
              <w:bottom w:val="single" w:sz="8" w:color="auto"/>
            </w:tcBorders>
            <w:shd w:val="clear" w:color="auto" w:fill="E6E6E6"/>
          </w:tcPr>
          <w:p>
            <w:pPr>
              <w:spacing w:after="0"/>
              <w:rPr>
                <w:sz w:val="18"/>
                <w:szCs w:val="18"/>
                <w:color w:val="auto"/>
              </w:rPr>
            </w:pPr>
          </w:p>
        </w:tc>
        <w:tc>
          <w:tcPr>
            <w:tcW w:w="1120" w:type="dxa"/>
            <w:vAlign w:val="bottom"/>
            <w:tcBorders>
              <w:bottom w:val="single" w:sz="8" w:color="auto"/>
            </w:tcBorders>
            <w:shd w:val="clear" w:color="auto" w:fill="E6E6E6"/>
          </w:tcPr>
          <w:p>
            <w:pPr>
              <w:jc w:val="right"/>
              <w:spacing w:after="0" w:line="216" w:lineRule="exact"/>
              <w:rPr>
                <w:sz w:val="20"/>
                <w:szCs w:val="20"/>
                <w:color w:val="auto"/>
              </w:rPr>
            </w:pPr>
            <w:r>
              <w:rPr>
                <w:rFonts w:ascii="Arial" w:cs="Arial" w:eastAsia="Arial" w:hAnsi="Arial"/>
                <w:sz w:val="20"/>
                <w:szCs w:val="20"/>
                <w:color w:val="auto"/>
              </w:rPr>
              <w:t>1,845,686</w:t>
            </w:r>
          </w:p>
        </w:tc>
        <w:tc>
          <w:tcPr>
            <w:tcW w:w="80" w:type="dxa"/>
            <w:vAlign w:val="bottom"/>
            <w:tcBorders>
              <w:bottom w:val="single" w:sz="8" w:color="E6E6E6"/>
            </w:tcBorders>
            <w:shd w:val="clear" w:color="auto" w:fill="E6E6E6"/>
          </w:tcPr>
          <w:p>
            <w:pPr>
              <w:spacing w:after="0"/>
              <w:rPr>
                <w:sz w:val="18"/>
                <w:szCs w:val="18"/>
                <w:color w:val="auto"/>
              </w:rPr>
            </w:pPr>
          </w:p>
        </w:tc>
        <w:tc>
          <w:tcPr>
            <w:tcW w:w="400" w:type="dxa"/>
            <w:vAlign w:val="bottom"/>
            <w:tcBorders>
              <w:bottom w:val="single" w:sz="8" w:color="auto"/>
            </w:tcBorders>
            <w:shd w:val="clear" w:color="auto" w:fill="E6E6E6"/>
          </w:tcPr>
          <w:p>
            <w:pPr>
              <w:spacing w:after="0"/>
              <w:rPr>
                <w:sz w:val="18"/>
                <w:szCs w:val="18"/>
                <w:color w:val="auto"/>
              </w:rPr>
            </w:pPr>
          </w:p>
        </w:tc>
        <w:tc>
          <w:tcPr>
            <w:tcW w:w="1120" w:type="dxa"/>
            <w:vAlign w:val="bottom"/>
            <w:tcBorders>
              <w:bottom w:val="single" w:sz="8" w:color="auto"/>
            </w:tcBorders>
            <w:shd w:val="clear" w:color="auto" w:fill="E6E6E6"/>
          </w:tcPr>
          <w:p>
            <w:pPr>
              <w:jc w:val="right"/>
              <w:spacing w:after="0" w:line="216" w:lineRule="exact"/>
              <w:rPr>
                <w:sz w:val="20"/>
                <w:szCs w:val="20"/>
                <w:color w:val="auto"/>
              </w:rPr>
            </w:pPr>
            <w:r>
              <w:rPr>
                <w:rFonts w:ascii="Arial" w:cs="Arial" w:eastAsia="Arial" w:hAnsi="Arial"/>
                <w:sz w:val="20"/>
                <w:szCs w:val="20"/>
                <w:color w:val="auto"/>
              </w:rPr>
              <w:t>1,566,932</w:t>
            </w:r>
          </w:p>
        </w:tc>
      </w:tr>
      <w:tr>
        <w:trPr>
          <w:trHeight w:val="226"/>
        </w:trPr>
        <w:tc>
          <w:tcPr>
            <w:tcW w:w="7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6"/>
        </w:trPr>
        <w:tc>
          <w:tcPr>
            <w:tcW w:w="7000" w:type="dxa"/>
            <w:vAlign w:val="bottom"/>
            <w:shd w:val="clear" w:color="auto" w:fill="E6E6E6"/>
          </w:tcPr>
          <w:p>
            <w:pPr>
              <w:ind w:left="60"/>
              <w:spacing w:after="0"/>
              <w:rPr>
                <w:sz w:val="20"/>
                <w:szCs w:val="20"/>
                <w:color w:val="auto"/>
              </w:rPr>
            </w:pPr>
            <w:r>
              <w:rPr>
                <w:rFonts w:ascii="Arial" w:cs="Arial" w:eastAsia="Arial" w:hAnsi="Arial"/>
                <w:sz w:val="20"/>
                <w:szCs w:val="20"/>
                <w:color w:val="auto"/>
              </w:rPr>
              <w:t>Safety-Kleen Sustainability Solutions</w:t>
            </w:r>
          </w:p>
        </w:tc>
        <w:tc>
          <w:tcPr>
            <w:tcW w:w="400" w:type="dxa"/>
            <w:vAlign w:val="bottom"/>
            <w:shd w:val="clear" w:color="auto" w:fill="E6E6E6"/>
          </w:tcPr>
          <w:p>
            <w:pPr>
              <w:spacing w:after="0"/>
              <w:rPr>
                <w:sz w:val="20"/>
                <w:szCs w:val="20"/>
                <w:color w:val="auto"/>
              </w:rPr>
            </w:pPr>
          </w:p>
        </w:tc>
        <w:tc>
          <w:tcPr>
            <w:tcW w:w="11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400" w:type="dxa"/>
            <w:vAlign w:val="bottom"/>
            <w:shd w:val="clear" w:color="auto" w:fill="E6E6E6"/>
          </w:tcPr>
          <w:p>
            <w:pPr>
              <w:spacing w:after="0"/>
              <w:rPr>
                <w:sz w:val="20"/>
                <w:szCs w:val="20"/>
                <w:color w:val="auto"/>
              </w:rPr>
            </w:pPr>
          </w:p>
        </w:tc>
        <w:tc>
          <w:tcPr>
            <w:tcW w:w="1120" w:type="dxa"/>
            <w:vAlign w:val="bottom"/>
            <w:shd w:val="clear" w:color="auto" w:fill="E6E6E6"/>
          </w:tcPr>
          <w:p>
            <w:pPr>
              <w:spacing w:after="0"/>
              <w:rPr>
                <w:sz w:val="20"/>
                <w:szCs w:val="20"/>
                <w:color w:val="auto"/>
              </w:rPr>
            </w:pPr>
          </w:p>
        </w:tc>
      </w:tr>
      <w:tr>
        <w:trPr>
          <w:trHeight w:val="236"/>
        </w:trPr>
        <w:tc>
          <w:tcPr>
            <w:tcW w:w="7000" w:type="dxa"/>
            <w:vAlign w:val="bottom"/>
          </w:tcPr>
          <w:p>
            <w:pPr>
              <w:ind w:left="200"/>
              <w:spacing w:after="0"/>
              <w:rPr>
                <w:sz w:val="20"/>
                <w:szCs w:val="20"/>
                <w:color w:val="auto"/>
              </w:rPr>
            </w:pPr>
            <w:r>
              <w:rPr>
                <w:rFonts w:ascii="Arial" w:cs="Arial" w:eastAsia="Arial" w:hAnsi="Arial"/>
                <w:sz w:val="20"/>
                <w:szCs w:val="20"/>
                <w:color w:val="auto"/>
              </w:rPr>
              <w:t>Goodwill</w:t>
            </w:r>
          </w:p>
        </w:tc>
        <w:tc>
          <w:tcPr>
            <w:tcW w:w="400" w:type="dxa"/>
            <w:vAlign w:val="bottom"/>
          </w:tcPr>
          <w:p>
            <w:pPr>
              <w:jc w:val="right"/>
              <w:ind w:right="165"/>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180,995</w:t>
            </w:r>
          </w:p>
        </w:tc>
        <w:tc>
          <w:tcPr>
            <w:tcW w:w="480" w:type="dxa"/>
            <w:vAlign w:val="bottom"/>
            <w:gridSpan w:val="2"/>
          </w:tcPr>
          <w:p>
            <w:pPr>
              <w:jc w:val="right"/>
              <w:ind w:right="17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175,723</w:t>
            </w:r>
          </w:p>
        </w:tc>
      </w:tr>
      <w:tr>
        <w:trPr>
          <w:trHeight w:val="247"/>
        </w:trPr>
        <w:tc>
          <w:tcPr>
            <w:tcW w:w="7000" w:type="dxa"/>
            <w:vAlign w:val="bottom"/>
            <w:tcBorders>
              <w:bottom w:val="single" w:sz="8" w:color="E6E6E6"/>
            </w:tcBorders>
            <w:shd w:val="clear" w:color="auto" w:fill="E6E6E6"/>
          </w:tcPr>
          <w:p>
            <w:pPr>
              <w:ind w:left="200"/>
              <w:spacing w:after="0" w:line="227" w:lineRule="exact"/>
              <w:rPr>
                <w:sz w:val="20"/>
                <w:szCs w:val="20"/>
                <w:color w:val="auto"/>
              </w:rPr>
            </w:pPr>
            <w:r>
              <w:rPr>
                <w:rFonts w:ascii="Arial" w:cs="Arial" w:eastAsia="Arial" w:hAnsi="Arial"/>
                <w:sz w:val="20"/>
                <w:szCs w:val="20"/>
                <w:color w:val="auto"/>
              </w:rPr>
              <w:t>Permits and other intangibles, net</w:t>
            </w:r>
          </w:p>
        </w:tc>
        <w:tc>
          <w:tcPr>
            <w:tcW w:w="400" w:type="dxa"/>
            <w:vAlign w:val="bottom"/>
            <w:tcBorders>
              <w:bottom w:val="single" w:sz="8" w:color="auto"/>
            </w:tcBorders>
            <w:shd w:val="clear" w:color="auto" w:fill="E6E6E6"/>
          </w:tcPr>
          <w:p>
            <w:pPr>
              <w:spacing w:after="0"/>
              <w:rPr>
                <w:sz w:val="21"/>
                <w:szCs w:val="21"/>
                <w:color w:val="auto"/>
              </w:rPr>
            </w:pPr>
          </w:p>
        </w:tc>
        <w:tc>
          <w:tcPr>
            <w:tcW w:w="1120" w:type="dxa"/>
            <w:vAlign w:val="bottom"/>
            <w:tcBorders>
              <w:bottom w:val="single" w:sz="8" w:color="auto"/>
            </w:tcBorders>
            <w:shd w:val="clear" w:color="auto" w:fill="E6E6E6"/>
          </w:tcPr>
          <w:p>
            <w:pPr>
              <w:jc w:val="right"/>
              <w:spacing w:after="0" w:line="227" w:lineRule="exact"/>
              <w:rPr>
                <w:sz w:val="20"/>
                <w:szCs w:val="20"/>
                <w:color w:val="auto"/>
              </w:rPr>
            </w:pPr>
            <w:r>
              <w:rPr>
                <w:rFonts w:ascii="Arial" w:cs="Arial" w:eastAsia="Arial" w:hAnsi="Arial"/>
                <w:sz w:val="20"/>
                <w:szCs w:val="20"/>
                <w:color w:val="auto"/>
              </w:rPr>
              <w:t>152,505</w:t>
            </w:r>
          </w:p>
        </w:tc>
        <w:tc>
          <w:tcPr>
            <w:tcW w:w="80" w:type="dxa"/>
            <w:vAlign w:val="bottom"/>
            <w:tcBorders>
              <w:bottom w:val="single" w:sz="8" w:color="E6E6E6"/>
            </w:tcBorders>
            <w:shd w:val="clear" w:color="auto" w:fill="E6E6E6"/>
          </w:tcPr>
          <w:p>
            <w:pPr>
              <w:spacing w:after="0"/>
              <w:rPr>
                <w:sz w:val="21"/>
                <w:szCs w:val="21"/>
                <w:color w:val="auto"/>
              </w:rPr>
            </w:pPr>
          </w:p>
        </w:tc>
        <w:tc>
          <w:tcPr>
            <w:tcW w:w="400" w:type="dxa"/>
            <w:vAlign w:val="bottom"/>
            <w:tcBorders>
              <w:bottom w:val="single" w:sz="8" w:color="auto"/>
            </w:tcBorders>
            <w:shd w:val="clear" w:color="auto" w:fill="E6E6E6"/>
          </w:tcPr>
          <w:p>
            <w:pPr>
              <w:spacing w:after="0"/>
              <w:rPr>
                <w:sz w:val="21"/>
                <w:szCs w:val="21"/>
                <w:color w:val="auto"/>
              </w:rPr>
            </w:pPr>
          </w:p>
        </w:tc>
        <w:tc>
          <w:tcPr>
            <w:tcW w:w="1120" w:type="dxa"/>
            <w:vAlign w:val="bottom"/>
            <w:tcBorders>
              <w:bottom w:val="single" w:sz="8" w:color="auto"/>
            </w:tcBorders>
            <w:shd w:val="clear" w:color="auto" w:fill="E6E6E6"/>
          </w:tcPr>
          <w:p>
            <w:pPr>
              <w:jc w:val="right"/>
              <w:spacing w:after="0" w:line="227" w:lineRule="exact"/>
              <w:rPr>
                <w:sz w:val="20"/>
                <w:szCs w:val="20"/>
                <w:color w:val="auto"/>
              </w:rPr>
            </w:pPr>
            <w:r>
              <w:rPr>
                <w:rFonts w:ascii="Arial" w:cs="Arial" w:eastAsia="Arial" w:hAnsi="Arial"/>
                <w:sz w:val="20"/>
                <w:szCs w:val="20"/>
                <w:color w:val="auto"/>
              </w:rPr>
              <w:t>147,878</w:t>
            </w:r>
          </w:p>
        </w:tc>
      </w:tr>
      <w:tr>
        <w:trPr>
          <w:trHeight w:val="196"/>
        </w:trPr>
        <w:tc>
          <w:tcPr>
            <w:tcW w:w="7000" w:type="dxa"/>
            <w:vAlign w:val="bottom"/>
            <w:tcBorders>
              <w:bottom w:val="single" w:sz="8" w:color="E6E6E6"/>
            </w:tcBorders>
          </w:tcPr>
          <w:p>
            <w:pPr>
              <w:ind w:left="280"/>
              <w:spacing w:after="0" w:line="196" w:lineRule="exact"/>
              <w:rPr>
                <w:sz w:val="20"/>
                <w:szCs w:val="20"/>
                <w:color w:val="auto"/>
              </w:rPr>
            </w:pPr>
            <w:r>
              <w:rPr>
                <w:rFonts w:ascii="Arial" w:cs="Arial" w:eastAsia="Arial" w:hAnsi="Arial"/>
                <w:sz w:val="20"/>
                <w:szCs w:val="20"/>
                <w:color w:val="auto"/>
              </w:rPr>
              <w:t>Total Safety-Kleen Sustainability Solutions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333,500</w:t>
            </w:r>
          </w:p>
        </w:tc>
        <w:tc>
          <w:tcPr>
            <w:tcW w:w="80" w:type="dxa"/>
            <w:vAlign w:val="bottom"/>
            <w:tcBorders>
              <w:bottom w:val="single" w:sz="8" w:color="E6E6E6"/>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323,601</w:t>
            </w:r>
          </w:p>
        </w:tc>
      </w:tr>
      <w:tr>
        <w:trPr>
          <w:trHeight w:val="226"/>
        </w:trPr>
        <w:tc>
          <w:tcPr>
            <w:tcW w:w="700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11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1120" w:type="dxa"/>
            <w:vAlign w:val="bottom"/>
            <w:shd w:val="clear" w:color="auto" w:fill="E6E6E6"/>
          </w:tcPr>
          <w:p>
            <w:pPr>
              <w:spacing w:after="0"/>
              <w:rPr>
                <w:sz w:val="19"/>
                <w:szCs w:val="19"/>
                <w:color w:val="auto"/>
              </w:rPr>
            </w:pPr>
          </w:p>
        </w:tc>
      </w:tr>
      <w:tr>
        <w:trPr>
          <w:trHeight w:val="207"/>
        </w:trPr>
        <w:tc>
          <w:tcPr>
            <w:tcW w:w="7000" w:type="dxa"/>
            <w:vAlign w:val="bottom"/>
          </w:tcPr>
          <w:p>
            <w:pPr>
              <w:ind w:left="60"/>
              <w:spacing w:after="0" w:line="207" w:lineRule="exact"/>
              <w:rPr>
                <w:sz w:val="20"/>
                <w:szCs w:val="20"/>
                <w:color w:val="auto"/>
              </w:rPr>
            </w:pPr>
            <w:r>
              <w:rPr>
                <w:rFonts w:ascii="Arial" w:cs="Arial" w:eastAsia="Arial" w:hAnsi="Arial"/>
                <w:sz w:val="20"/>
                <w:szCs w:val="20"/>
                <w:color w:val="auto"/>
              </w:rPr>
              <w:t>Total</w:t>
            </w:r>
          </w:p>
        </w:tc>
        <w:tc>
          <w:tcPr>
            <w:tcW w:w="400" w:type="dxa"/>
            <w:vAlign w:val="bottom"/>
          </w:tcPr>
          <w:p>
            <w:pPr>
              <w:jc w:val="right"/>
              <w:ind w:right="165"/>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07" w:lineRule="exact"/>
              <w:rPr>
                <w:sz w:val="20"/>
                <w:szCs w:val="20"/>
                <w:color w:val="auto"/>
              </w:rPr>
            </w:pPr>
            <w:r>
              <w:rPr>
                <w:rFonts w:ascii="Arial" w:cs="Arial" w:eastAsia="Arial" w:hAnsi="Arial"/>
                <w:sz w:val="20"/>
                <w:szCs w:val="20"/>
                <w:color w:val="auto"/>
              </w:rPr>
              <w:t>2,179,186</w:t>
            </w:r>
          </w:p>
        </w:tc>
        <w:tc>
          <w:tcPr>
            <w:tcW w:w="480" w:type="dxa"/>
            <w:vAlign w:val="bottom"/>
            <w:gridSpan w:val="2"/>
          </w:tcPr>
          <w:p>
            <w:pPr>
              <w:jc w:val="right"/>
              <w:ind w:right="171"/>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07" w:lineRule="exact"/>
              <w:rPr>
                <w:sz w:val="20"/>
                <w:szCs w:val="20"/>
                <w:color w:val="auto"/>
              </w:rPr>
            </w:pPr>
            <w:r>
              <w:rPr>
                <w:rFonts w:ascii="Arial" w:cs="Arial" w:eastAsia="Arial" w:hAnsi="Arial"/>
                <w:sz w:val="20"/>
                <w:szCs w:val="20"/>
                <w:color w:val="auto"/>
              </w:rPr>
              <w:t>1,890,533</w:t>
            </w:r>
          </w:p>
        </w:tc>
      </w:tr>
      <w:tr>
        <w:trPr>
          <w:trHeight w:val="20"/>
        </w:trPr>
        <w:tc>
          <w:tcPr>
            <w:tcW w:w="7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-1994535</wp:posOffset>
            </wp:positionV>
            <wp:extent cx="2005330"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4">
                      <a:extLst>
                        <a:ext uri="{28A0092B-C50C-407E-A947-70E740481C1C}"/>
                      </a:extLst>
                    </a:blip>
                    <a:srcRect/>
                    <a:stretch>
                      <a:fillRect/>
                    </a:stretch>
                  </pic:blipFill>
                  <pic:spPr bwMode="auto">
                    <a:xfrm>
                      <a:off x="0" y="0"/>
                      <a:ext cx="2005330" cy="5016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-43180</wp:posOffset>
            </wp:positionV>
            <wp:extent cx="2005330" cy="50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5">
                      <a:extLst>
                        <a:ext uri="{28A0092B-C50C-407E-A947-70E740481C1C}"/>
                      </a:extLst>
                    </a:blip>
                    <a:srcRect/>
                    <a:stretch>
                      <a:fillRect/>
                    </a:stretch>
                  </pic:blipFill>
                  <pic:spPr bwMode="auto">
                    <a:xfrm>
                      <a:off x="0" y="0"/>
                      <a:ext cx="2005330" cy="50165"/>
                    </a:xfrm>
                    <a:prstGeom prst="rect">
                      <a:avLst/>
                    </a:prstGeom>
                    <a:noFill/>
                  </pic:spPr>
                </pic:pic>
              </a:graphicData>
            </a:graphic>
          </wp:anchor>
        </w:drawing>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880" w:h="15480" w:orient="portrait"/>
          <w:cols w:equalWidth="0" w:num="1">
            <w:col w:w="10120"/>
          </w:cols>
          <w:pgMar w:left="880" w:top="338" w:right="880" w:bottom="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20"/>
          <w:szCs w:val="20"/>
          <w:b w:val="1"/>
          <w:bCs w:val="1"/>
          <w:color w:val="auto"/>
        </w:rPr>
        <w:t>CLEAN HARBORS, INC. AND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Geographic Information</w:t>
      </w:r>
    </w:p>
    <w:p>
      <w:pPr>
        <w:spacing w:after="0" w:line="171" w:lineRule="exact"/>
        <w:rPr>
          <w:sz w:val="20"/>
          <w:szCs w:val="20"/>
          <w:color w:val="auto"/>
        </w:rPr>
      </w:pPr>
    </w:p>
    <w:p>
      <w:pPr>
        <w:ind w:right="200" w:firstLine="709"/>
        <w:spacing w:after="0" w:line="405" w:lineRule="auto"/>
        <w:rPr>
          <w:sz w:val="20"/>
          <w:szCs w:val="20"/>
          <w:color w:val="auto"/>
        </w:rPr>
      </w:pPr>
      <w:r>
        <w:rPr>
          <w:rFonts w:ascii="Arial" w:cs="Arial" w:eastAsia="Arial" w:hAnsi="Arial"/>
          <w:sz w:val="16"/>
          <w:szCs w:val="16"/>
          <w:color w:val="auto"/>
        </w:rPr>
        <w:t>As of December 31, 2024 and 2023, the Company had property, plant and equipment, net of depreciation and amortization and permits and other intangible assets, net of amortization in the following geographic locations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6"/>
                <w:szCs w:val="16"/>
                <w:b w:val="1"/>
                <w:bCs w:val="1"/>
                <w:color w:val="auto"/>
              </w:rPr>
              <w:t>December 31, 2024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6"/>
                <w:szCs w:val="16"/>
                <w:b w:val="1"/>
                <w:bCs w:val="1"/>
                <w:color w:val="auto"/>
              </w:rPr>
              <w:t>December 31, 2023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Total</w:t>
            </w:r>
          </w:p>
        </w:tc>
        <w:tc>
          <w:tcPr>
            <w:tcW w:w="80" w:type="dxa"/>
            <w:vAlign w:val="bottom"/>
            <w:tcBorders>
              <w:bottom w:val="single" w:sz="8" w:color="E6E6E6"/>
            </w:tcBorders>
          </w:tcPr>
          <w:p>
            <w:pPr>
              <w:spacing w:after="0"/>
              <w:rPr>
                <w:sz w:val="18"/>
                <w:szCs w:val="18"/>
                <w:color w:val="auto"/>
              </w:rPr>
            </w:pPr>
          </w:p>
        </w:tc>
        <w:tc>
          <w:tcPr>
            <w:tcW w:w="120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6"/>
                <w:szCs w:val="16"/>
                <w:b w:val="1"/>
                <w:bCs w:val="1"/>
                <w:color w:val="auto"/>
              </w:rPr>
              <w:t>% of Total</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 of Total</w:t>
            </w:r>
          </w:p>
        </w:tc>
        <w:tc>
          <w:tcPr>
            <w:tcW w:w="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860" w:type="dxa"/>
            <w:vAlign w:val="bottom"/>
            <w:shd w:val="clear" w:color="auto" w:fill="E6E6E6"/>
          </w:tcPr>
          <w:p>
            <w:pPr>
              <w:ind w:left="40"/>
              <w:spacing w:after="0" w:line="227" w:lineRule="exact"/>
              <w:rPr>
                <w:sz w:val="20"/>
                <w:szCs w:val="20"/>
                <w:color w:val="auto"/>
              </w:rPr>
            </w:pPr>
            <w:r>
              <w:rPr>
                <w:rFonts w:ascii="Arial" w:cs="Arial" w:eastAsia="Arial" w:hAnsi="Arial"/>
                <w:sz w:val="20"/>
                <w:szCs w:val="20"/>
                <w:b w:val="1"/>
                <w:bCs w:val="1"/>
                <w:color w:val="auto"/>
              </w:rPr>
              <w:t>Property, plant and equipment, net</w:t>
            </w: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5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8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Arial" w:cs="Arial" w:eastAsia="Arial" w:hAnsi="Arial"/>
                <w:sz w:val="20"/>
                <w:szCs w:val="20"/>
                <w:color w:val="auto"/>
              </w:rPr>
              <w:t>United States</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2,249,155</w:t>
            </w:r>
          </w:p>
        </w:tc>
        <w:tc>
          <w:tcPr>
            <w:tcW w:w="1280" w:type="dxa"/>
            <w:vAlign w:val="bottom"/>
            <w:gridSpan w:val="3"/>
          </w:tcPr>
          <w:p>
            <w:pPr>
              <w:jc w:val="right"/>
              <w:spacing w:after="0"/>
              <w:rPr>
                <w:sz w:val="20"/>
                <w:szCs w:val="20"/>
                <w:color w:val="auto"/>
              </w:rPr>
            </w:pPr>
            <w:r>
              <w:rPr>
                <w:rFonts w:ascii="Arial" w:cs="Arial" w:eastAsia="Arial" w:hAnsi="Arial"/>
                <w:sz w:val="20"/>
                <w:szCs w:val="20"/>
                <w:color w:val="auto"/>
              </w:rPr>
              <w:t>91.9 %</w:t>
            </w:r>
          </w:p>
        </w:tc>
        <w:tc>
          <w:tcPr>
            <w:tcW w:w="360" w:type="dxa"/>
            <w:vAlign w:val="bottom"/>
            <w:gridSpan w:val="4"/>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gridSpan w:val="3"/>
          </w:tcPr>
          <w:p>
            <w:pPr>
              <w:jc w:val="right"/>
              <w:spacing w:after="0"/>
              <w:rPr>
                <w:sz w:val="20"/>
                <w:szCs w:val="20"/>
                <w:color w:val="auto"/>
              </w:rPr>
            </w:pPr>
            <w:r>
              <w:rPr>
                <w:rFonts w:ascii="Arial" w:cs="Arial" w:eastAsia="Arial" w:hAnsi="Arial"/>
                <w:sz w:val="20"/>
                <w:szCs w:val="20"/>
                <w:color w:val="auto"/>
                <w:w w:val="98"/>
              </w:rPr>
              <w:t>1,972,221</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89.9 %</w:t>
            </w:r>
          </w:p>
        </w:tc>
        <w:tc>
          <w:tcPr>
            <w:tcW w:w="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860" w:type="dxa"/>
            <w:vAlign w:val="bottom"/>
            <w:shd w:val="clear" w:color="auto" w:fill="E6E6E6"/>
          </w:tcPr>
          <w:p>
            <w:pPr>
              <w:ind w:left="180"/>
              <w:spacing w:after="0" w:line="227" w:lineRule="exact"/>
              <w:rPr>
                <w:sz w:val="20"/>
                <w:szCs w:val="20"/>
                <w:color w:val="auto"/>
              </w:rPr>
            </w:pPr>
            <w:r>
              <w:rPr>
                <w:rFonts w:ascii="Arial" w:cs="Arial" w:eastAsia="Arial" w:hAnsi="Arial"/>
                <w:sz w:val="20"/>
                <w:szCs w:val="20"/>
                <w:color w:val="auto"/>
              </w:rPr>
              <w:t>Canada and other foreign</w:t>
            </w:r>
          </w:p>
        </w:tc>
        <w:tc>
          <w:tcPr>
            <w:tcW w:w="26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line="227" w:lineRule="exact"/>
              <w:rPr>
                <w:sz w:val="20"/>
                <w:szCs w:val="20"/>
                <w:color w:val="auto"/>
              </w:rPr>
            </w:pPr>
            <w:r>
              <w:rPr>
                <w:rFonts w:ascii="Arial" w:cs="Arial" w:eastAsia="Arial" w:hAnsi="Arial"/>
                <w:sz w:val="20"/>
                <w:szCs w:val="20"/>
                <w:color w:val="auto"/>
              </w:rPr>
              <w:t>198,786</w:t>
            </w:r>
          </w:p>
        </w:tc>
        <w:tc>
          <w:tcPr>
            <w:tcW w:w="1280" w:type="dxa"/>
            <w:vAlign w:val="bottom"/>
            <w:gridSpan w:val="3"/>
            <w:shd w:val="clear" w:color="auto" w:fill="E6E6E6"/>
          </w:tcPr>
          <w:p>
            <w:pPr>
              <w:jc w:val="right"/>
              <w:ind w:right="131"/>
              <w:spacing w:after="0" w:line="227" w:lineRule="exact"/>
              <w:rPr>
                <w:sz w:val="20"/>
                <w:szCs w:val="20"/>
                <w:color w:val="auto"/>
              </w:rPr>
            </w:pPr>
            <w:r>
              <w:rPr>
                <w:rFonts w:ascii="Arial" w:cs="Arial" w:eastAsia="Arial" w:hAnsi="Arial"/>
                <w:sz w:val="20"/>
                <w:szCs w:val="20"/>
                <w:color w:val="auto"/>
              </w:rPr>
              <w:t>8.1</w:t>
            </w: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980" w:type="dxa"/>
            <w:vAlign w:val="bottom"/>
            <w:gridSpan w:val="3"/>
            <w:shd w:val="clear" w:color="auto" w:fill="E6E6E6"/>
          </w:tcPr>
          <w:p>
            <w:pPr>
              <w:jc w:val="right"/>
              <w:spacing w:after="0" w:line="227" w:lineRule="exact"/>
              <w:rPr>
                <w:sz w:val="20"/>
                <w:szCs w:val="20"/>
                <w:color w:val="auto"/>
              </w:rPr>
            </w:pPr>
            <w:r>
              <w:rPr>
                <w:rFonts w:ascii="Arial" w:cs="Arial" w:eastAsia="Arial" w:hAnsi="Arial"/>
                <w:sz w:val="20"/>
                <w:szCs w:val="20"/>
                <w:color w:val="auto"/>
              </w:rPr>
              <w:t>221,097</w:t>
            </w:r>
          </w:p>
        </w:tc>
        <w:tc>
          <w:tcPr>
            <w:tcW w:w="1360" w:type="dxa"/>
            <w:vAlign w:val="bottom"/>
            <w:gridSpan w:val="2"/>
            <w:shd w:val="clear" w:color="auto" w:fill="E6E6E6"/>
          </w:tcPr>
          <w:p>
            <w:pPr>
              <w:jc w:val="right"/>
              <w:ind w:right="148"/>
              <w:spacing w:after="0" w:line="227" w:lineRule="exact"/>
              <w:rPr>
                <w:sz w:val="20"/>
                <w:szCs w:val="20"/>
                <w:color w:val="auto"/>
              </w:rPr>
            </w:pPr>
            <w:r>
              <w:rPr>
                <w:rFonts w:ascii="Arial" w:cs="Arial" w:eastAsia="Arial" w:hAnsi="Arial"/>
                <w:sz w:val="20"/>
                <w:szCs w:val="20"/>
                <w:color w:val="auto"/>
              </w:rPr>
              <w:t>10.1</w:t>
            </w: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E6E6E6"/>
            </w:tcBorders>
          </w:tcPr>
          <w:p>
            <w:pPr>
              <w:ind w:left="260"/>
              <w:spacing w:after="0" w:line="177" w:lineRule="exact"/>
              <w:rPr>
                <w:sz w:val="20"/>
                <w:szCs w:val="20"/>
                <w:color w:val="auto"/>
              </w:rPr>
            </w:pPr>
            <w:r>
              <w:rPr>
                <w:rFonts w:ascii="Arial" w:cs="Arial" w:eastAsia="Arial" w:hAnsi="Arial"/>
                <w:sz w:val="20"/>
                <w:szCs w:val="20"/>
                <w:color w:val="auto"/>
              </w:rPr>
              <w:t>Total property, plant and equipment, net</w:t>
            </w:r>
          </w:p>
        </w:tc>
        <w:tc>
          <w:tcPr>
            <w:tcW w:w="260" w:type="dxa"/>
            <w:vAlign w:val="bottom"/>
            <w:tcBorders>
              <w:top w:val="single" w:sz="8" w:color="auto"/>
            </w:tcBorders>
          </w:tcPr>
          <w:p>
            <w:pPr>
              <w:jc w:val="right"/>
              <w:ind w:right="21"/>
              <w:spacing w:after="0" w:line="177"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20"/>
                <w:szCs w:val="20"/>
                <w:color w:val="auto"/>
                <w:w w:val="98"/>
              </w:rPr>
              <w:t>2,447,941</w:t>
            </w:r>
          </w:p>
        </w:tc>
        <w:tc>
          <w:tcPr>
            <w:tcW w:w="80" w:type="dxa"/>
            <w:vAlign w:val="bottom"/>
            <w:tcBorders>
              <w:top w:val="single" w:sz="8" w:color="E6E6E6"/>
            </w:tcBorders>
          </w:tcPr>
          <w:p>
            <w:pPr>
              <w:spacing w:after="0"/>
              <w:rPr>
                <w:sz w:val="18"/>
                <w:szCs w:val="18"/>
                <w:color w:val="auto"/>
              </w:rPr>
            </w:pPr>
          </w:p>
        </w:tc>
        <w:tc>
          <w:tcPr>
            <w:tcW w:w="120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20"/>
                <w:szCs w:val="20"/>
                <w:color w:val="auto"/>
              </w:rPr>
              <w:t>100.0 %</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E6E6E6"/>
            </w:tcBorders>
            <w:gridSpan w:val="2"/>
          </w:tcPr>
          <w:p>
            <w:pPr>
              <w:spacing w:after="0"/>
              <w:rPr>
                <w:sz w:val="18"/>
                <w:szCs w:val="18"/>
                <w:color w:val="auto"/>
              </w:rPr>
            </w:pPr>
          </w:p>
        </w:tc>
        <w:tc>
          <w:tcPr>
            <w:tcW w:w="260" w:type="dxa"/>
            <w:vAlign w:val="bottom"/>
            <w:tcBorders>
              <w:top w:val="single" w:sz="8" w:color="auto"/>
            </w:tcBorders>
          </w:tcPr>
          <w:p>
            <w:pPr>
              <w:jc w:val="right"/>
              <w:ind w:right="21"/>
              <w:spacing w:after="0" w:line="177"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gridSpan w:val="3"/>
          </w:tcPr>
          <w:p>
            <w:pPr>
              <w:jc w:val="right"/>
              <w:spacing w:after="0" w:line="177" w:lineRule="exact"/>
              <w:rPr>
                <w:sz w:val="20"/>
                <w:szCs w:val="20"/>
                <w:color w:val="auto"/>
              </w:rPr>
            </w:pPr>
            <w:r>
              <w:rPr>
                <w:rFonts w:ascii="Arial" w:cs="Arial" w:eastAsia="Arial" w:hAnsi="Arial"/>
                <w:sz w:val="20"/>
                <w:szCs w:val="20"/>
                <w:color w:val="auto"/>
                <w:w w:val="98"/>
              </w:rPr>
              <w:t>2,193,318</w:t>
            </w:r>
          </w:p>
        </w:tc>
        <w:tc>
          <w:tcPr>
            <w:tcW w:w="80" w:type="dxa"/>
            <w:vAlign w:val="bottom"/>
            <w:tcBorders>
              <w:top w:val="single" w:sz="8" w:color="E6E6E6"/>
            </w:tcBorders>
          </w:tcPr>
          <w:p>
            <w:pPr>
              <w:spacing w:after="0"/>
              <w:rPr>
                <w:sz w:val="18"/>
                <w:szCs w:val="18"/>
                <w:color w:val="auto"/>
              </w:rPr>
            </w:pPr>
          </w:p>
        </w:tc>
        <w:tc>
          <w:tcPr>
            <w:tcW w:w="12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20"/>
                <w:szCs w:val="20"/>
                <w:color w:val="auto"/>
              </w:rPr>
              <w:t>100.0 %</w:t>
            </w: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4860" w:type="dxa"/>
            <w:vAlign w:val="bottom"/>
            <w:tcBorders>
              <w:top w:val="single" w:sz="8" w:color="E6E6E6"/>
            </w:tcBorders>
            <w:shd w:val="clear" w:color="auto" w:fill="E6E6E6"/>
          </w:tcPr>
          <w:p>
            <w:pPr>
              <w:spacing w:after="0"/>
              <w:rPr>
                <w:sz w:val="17"/>
                <w:szCs w:val="17"/>
                <w:color w:val="auto"/>
              </w:rPr>
            </w:pPr>
          </w:p>
        </w:tc>
        <w:tc>
          <w:tcPr>
            <w:tcW w:w="260" w:type="dxa"/>
            <w:vAlign w:val="bottom"/>
            <w:tcBorders>
              <w:top w:val="single" w:sz="8" w:color="auto"/>
            </w:tcBorders>
            <w:shd w:val="clear" w:color="auto" w:fill="E6E6E6"/>
          </w:tcPr>
          <w:p>
            <w:pPr>
              <w:spacing w:after="0"/>
              <w:rPr>
                <w:sz w:val="17"/>
                <w:szCs w:val="17"/>
                <w:color w:val="auto"/>
              </w:rPr>
            </w:pPr>
          </w:p>
        </w:tc>
        <w:tc>
          <w:tcPr>
            <w:tcW w:w="980" w:type="dxa"/>
            <w:vAlign w:val="bottom"/>
            <w:tcBorders>
              <w:top w:val="single" w:sz="8" w:color="auto"/>
            </w:tcBorders>
            <w:shd w:val="clear" w:color="auto" w:fill="E6E6E6"/>
          </w:tcPr>
          <w:p>
            <w:pPr>
              <w:spacing w:after="0"/>
              <w:rPr>
                <w:sz w:val="17"/>
                <w:szCs w:val="17"/>
                <w:color w:val="auto"/>
              </w:rPr>
            </w:pPr>
          </w:p>
        </w:tc>
        <w:tc>
          <w:tcPr>
            <w:tcW w:w="80" w:type="dxa"/>
            <w:vAlign w:val="bottom"/>
            <w:tcBorders>
              <w:top w:val="single" w:sz="8" w:color="auto"/>
            </w:tcBorders>
            <w:shd w:val="clear" w:color="auto" w:fill="E6E6E6"/>
          </w:tcPr>
          <w:p>
            <w:pPr>
              <w:spacing w:after="0"/>
              <w:rPr>
                <w:sz w:val="17"/>
                <w:szCs w:val="17"/>
                <w:color w:val="auto"/>
              </w:rPr>
            </w:pPr>
          </w:p>
        </w:tc>
        <w:tc>
          <w:tcPr>
            <w:tcW w:w="320" w:type="dxa"/>
            <w:vAlign w:val="bottom"/>
            <w:tcBorders>
              <w:top w:val="single" w:sz="8" w:color="auto"/>
            </w:tcBorders>
            <w:shd w:val="clear" w:color="auto" w:fill="E6E6E6"/>
          </w:tcPr>
          <w:p>
            <w:pPr>
              <w:spacing w:after="0"/>
              <w:rPr>
                <w:sz w:val="17"/>
                <w:szCs w:val="17"/>
                <w:color w:val="auto"/>
              </w:rPr>
            </w:pPr>
          </w:p>
        </w:tc>
        <w:tc>
          <w:tcPr>
            <w:tcW w:w="880" w:type="dxa"/>
            <w:vAlign w:val="bottom"/>
            <w:tcBorders>
              <w:top w:val="single" w:sz="8" w:color="auto"/>
            </w:tcBorders>
            <w:shd w:val="clear" w:color="auto" w:fill="E6E6E6"/>
          </w:tcPr>
          <w:p>
            <w:pPr>
              <w:spacing w:after="0"/>
              <w:rPr>
                <w:sz w:val="17"/>
                <w:szCs w:val="17"/>
                <w:color w:val="auto"/>
              </w:rPr>
            </w:pPr>
          </w:p>
        </w:tc>
        <w:tc>
          <w:tcPr>
            <w:tcW w:w="20" w:type="dxa"/>
            <w:vAlign w:val="bottom"/>
            <w:tcBorders>
              <w:top w:val="single" w:sz="8" w:color="auto"/>
            </w:tcBorders>
            <w:shd w:val="clear" w:color="auto" w:fill="E6E6E6"/>
          </w:tcPr>
          <w:p>
            <w:pPr>
              <w:spacing w:after="0"/>
              <w:rPr>
                <w:sz w:val="17"/>
                <w:szCs w:val="17"/>
                <w:color w:val="auto"/>
              </w:rPr>
            </w:pPr>
          </w:p>
        </w:tc>
        <w:tc>
          <w:tcPr>
            <w:tcW w:w="20" w:type="dxa"/>
            <w:vAlign w:val="bottom"/>
            <w:tcBorders>
              <w:top w:val="single" w:sz="8" w:color="auto"/>
            </w:tcBorders>
            <w:shd w:val="clear" w:color="auto" w:fill="E6E6E6"/>
          </w:tcPr>
          <w:p>
            <w:pPr>
              <w:spacing w:after="0"/>
              <w:rPr>
                <w:sz w:val="17"/>
                <w:szCs w:val="17"/>
                <w:color w:val="auto"/>
              </w:rPr>
            </w:pPr>
          </w:p>
        </w:tc>
        <w:tc>
          <w:tcPr>
            <w:tcW w:w="60" w:type="dxa"/>
            <w:vAlign w:val="bottom"/>
            <w:tcBorders>
              <w:top w:val="single" w:sz="8" w:color="E6E6E6"/>
            </w:tcBorders>
            <w:shd w:val="clear" w:color="auto" w:fill="E6E6E6"/>
          </w:tcPr>
          <w:p>
            <w:pPr>
              <w:spacing w:after="0"/>
              <w:rPr>
                <w:sz w:val="17"/>
                <w:szCs w:val="17"/>
                <w:color w:val="auto"/>
              </w:rPr>
            </w:pPr>
          </w:p>
        </w:tc>
        <w:tc>
          <w:tcPr>
            <w:tcW w:w="260" w:type="dxa"/>
            <w:vAlign w:val="bottom"/>
            <w:tcBorders>
              <w:top w:val="single" w:sz="8" w:color="auto"/>
            </w:tcBorders>
            <w:shd w:val="clear" w:color="auto" w:fill="E6E6E6"/>
          </w:tcPr>
          <w:p>
            <w:pPr>
              <w:spacing w:after="0"/>
              <w:rPr>
                <w:sz w:val="17"/>
                <w:szCs w:val="17"/>
                <w:color w:val="auto"/>
              </w:rPr>
            </w:pPr>
          </w:p>
        </w:tc>
        <w:tc>
          <w:tcPr>
            <w:tcW w:w="520" w:type="dxa"/>
            <w:vAlign w:val="bottom"/>
            <w:tcBorders>
              <w:top w:val="single" w:sz="8" w:color="auto"/>
            </w:tcBorders>
            <w:shd w:val="clear" w:color="auto" w:fill="E6E6E6"/>
          </w:tcPr>
          <w:p>
            <w:pPr>
              <w:spacing w:after="0"/>
              <w:rPr>
                <w:sz w:val="17"/>
                <w:szCs w:val="17"/>
                <w:color w:val="auto"/>
              </w:rPr>
            </w:pPr>
          </w:p>
        </w:tc>
        <w:tc>
          <w:tcPr>
            <w:tcW w:w="80" w:type="dxa"/>
            <w:vAlign w:val="bottom"/>
            <w:tcBorders>
              <w:top w:val="single" w:sz="8" w:color="auto"/>
            </w:tcBorders>
            <w:shd w:val="clear" w:color="auto" w:fill="E6E6E6"/>
          </w:tcPr>
          <w:p>
            <w:pPr>
              <w:spacing w:after="0"/>
              <w:rPr>
                <w:sz w:val="17"/>
                <w:szCs w:val="17"/>
                <w:color w:val="auto"/>
              </w:rPr>
            </w:pPr>
          </w:p>
        </w:tc>
        <w:tc>
          <w:tcPr>
            <w:tcW w:w="380" w:type="dxa"/>
            <w:vAlign w:val="bottom"/>
            <w:tcBorders>
              <w:top w:val="single" w:sz="8" w:color="auto"/>
            </w:tcBorders>
            <w:shd w:val="clear" w:color="auto" w:fill="E6E6E6"/>
          </w:tcPr>
          <w:p>
            <w:pPr>
              <w:spacing w:after="0"/>
              <w:rPr>
                <w:sz w:val="17"/>
                <w:szCs w:val="17"/>
                <w:color w:val="auto"/>
              </w:rPr>
            </w:pPr>
          </w:p>
        </w:tc>
        <w:tc>
          <w:tcPr>
            <w:tcW w:w="80" w:type="dxa"/>
            <w:vAlign w:val="bottom"/>
            <w:tcBorders>
              <w:top w:val="single" w:sz="8" w:color="auto"/>
            </w:tcBorders>
            <w:shd w:val="clear" w:color="auto" w:fill="E6E6E6"/>
          </w:tcPr>
          <w:p>
            <w:pPr>
              <w:spacing w:after="0"/>
              <w:rPr>
                <w:sz w:val="17"/>
                <w:szCs w:val="17"/>
                <w:color w:val="auto"/>
              </w:rPr>
            </w:pPr>
          </w:p>
        </w:tc>
        <w:tc>
          <w:tcPr>
            <w:tcW w:w="1280" w:type="dxa"/>
            <w:vAlign w:val="bottom"/>
            <w:tcBorders>
              <w:top w:val="single" w:sz="8" w:color="auto"/>
            </w:tcBorders>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20"/>
                <w:szCs w:val="20"/>
                <w:b w:val="1"/>
                <w:bCs w:val="1"/>
                <w:color w:val="auto"/>
              </w:rPr>
              <w:t>Permits and other intangibles, net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48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United States</w:t>
            </w:r>
          </w:p>
        </w:tc>
        <w:tc>
          <w:tcPr>
            <w:tcW w:w="26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674,246</w:t>
            </w:r>
          </w:p>
        </w:tc>
        <w:tc>
          <w:tcPr>
            <w:tcW w:w="128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auto"/>
              </w:rPr>
              <w:t>96.0 %</w:t>
            </w:r>
          </w:p>
        </w:tc>
        <w:tc>
          <w:tcPr>
            <w:tcW w:w="360" w:type="dxa"/>
            <w:vAlign w:val="bottom"/>
            <w:gridSpan w:val="4"/>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auto"/>
              </w:rPr>
              <w:t>570,049</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94.6 %</w:t>
            </w:r>
          </w:p>
        </w:tc>
        <w:tc>
          <w:tcPr>
            <w:tcW w:w="2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4860" w:type="dxa"/>
            <w:vAlign w:val="bottom"/>
          </w:tcPr>
          <w:p>
            <w:pPr>
              <w:ind w:left="180"/>
              <w:spacing w:after="0" w:line="227" w:lineRule="exact"/>
              <w:rPr>
                <w:sz w:val="20"/>
                <w:szCs w:val="20"/>
                <w:color w:val="auto"/>
              </w:rPr>
            </w:pPr>
            <w:r>
              <w:rPr>
                <w:rFonts w:ascii="Arial" w:cs="Arial" w:eastAsia="Arial" w:hAnsi="Arial"/>
                <w:sz w:val="20"/>
                <w:szCs w:val="20"/>
                <w:color w:val="auto"/>
              </w:rPr>
              <w:t>Canada</w:t>
            </w:r>
          </w:p>
        </w:tc>
        <w:tc>
          <w:tcPr>
            <w:tcW w:w="260" w:type="dxa"/>
            <w:vAlign w:val="bottom"/>
          </w:tcPr>
          <w:p>
            <w:pPr>
              <w:spacing w:after="0"/>
              <w:rPr>
                <w:sz w:val="19"/>
                <w:szCs w:val="19"/>
                <w:color w:val="auto"/>
              </w:rPr>
            </w:pPr>
          </w:p>
        </w:tc>
        <w:tc>
          <w:tcPr>
            <w:tcW w:w="980" w:type="dxa"/>
            <w:vAlign w:val="bottom"/>
          </w:tcPr>
          <w:p>
            <w:pPr>
              <w:jc w:val="right"/>
              <w:spacing w:after="0" w:line="227" w:lineRule="exact"/>
              <w:rPr>
                <w:sz w:val="20"/>
                <w:szCs w:val="20"/>
                <w:color w:val="auto"/>
              </w:rPr>
            </w:pPr>
            <w:r>
              <w:rPr>
                <w:rFonts w:ascii="Arial" w:cs="Arial" w:eastAsia="Arial" w:hAnsi="Arial"/>
                <w:sz w:val="20"/>
                <w:szCs w:val="20"/>
                <w:color w:val="auto"/>
              </w:rPr>
              <w:t>27,741</w:t>
            </w:r>
          </w:p>
        </w:tc>
        <w:tc>
          <w:tcPr>
            <w:tcW w:w="1280" w:type="dxa"/>
            <w:vAlign w:val="bottom"/>
            <w:gridSpan w:val="3"/>
          </w:tcPr>
          <w:p>
            <w:pPr>
              <w:jc w:val="right"/>
              <w:ind w:right="131"/>
              <w:spacing w:after="0" w:line="227" w:lineRule="exact"/>
              <w:rPr>
                <w:sz w:val="20"/>
                <w:szCs w:val="20"/>
                <w:color w:val="auto"/>
              </w:rPr>
            </w:pPr>
            <w:r>
              <w:rPr>
                <w:rFonts w:ascii="Arial" w:cs="Arial" w:eastAsia="Arial" w:hAnsi="Arial"/>
                <w:sz w:val="20"/>
                <w:szCs w:val="20"/>
                <w:color w:val="auto"/>
              </w:rPr>
              <w:t>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spacing w:after="0" w:line="227" w:lineRule="exact"/>
              <w:rPr>
                <w:sz w:val="20"/>
                <w:szCs w:val="20"/>
                <w:color w:val="auto"/>
              </w:rPr>
            </w:pPr>
            <w:r>
              <w:rPr>
                <w:rFonts w:ascii="Arial" w:cs="Arial" w:eastAsia="Arial" w:hAnsi="Arial"/>
                <w:sz w:val="20"/>
                <w:szCs w:val="20"/>
                <w:color w:val="auto"/>
              </w:rPr>
              <w:t>32,748</w:t>
            </w:r>
          </w:p>
        </w:tc>
        <w:tc>
          <w:tcPr>
            <w:tcW w:w="1360" w:type="dxa"/>
            <w:vAlign w:val="bottom"/>
            <w:gridSpan w:val="2"/>
          </w:tcPr>
          <w:p>
            <w:pPr>
              <w:jc w:val="right"/>
              <w:ind w:right="148"/>
              <w:spacing w:after="0" w:line="227" w:lineRule="exact"/>
              <w:rPr>
                <w:sz w:val="20"/>
                <w:szCs w:val="20"/>
                <w:color w:val="auto"/>
              </w:rPr>
            </w:pPr>
            <w:r>
              <w:rPr>
                <w:rFonts w:ascii="Arial" w:cs="Arial" w:eastAsia="Arial" w:hAnsi="Arial"/>
                <w:sz w:val="20"/>
                <w:szCs w:val="20"/>
                <w:color w:val="auto"/>
              </w:rPr>
              <w:t>5.4</w:t>
            </w:r>
          </w:p>
        </w:tc>
        <w:tc>
          <w:tcPr>
            <w:tcW w:w="2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4860" w:type="dxa"/>
            <w:vAlign w:val="bottom"/>
            <w:tcBorders>
              <w:top w:val="single" w:sz="8" w:color="E6E6E6"/>
              <w:bottom w:val="single" w:sz="8" w:color="E6E6E6"/>
            </w:tcBorders>
            <w:shd w:val="clear" w:color="auto" w:fill="E6E6E6"/>
          </w:tcPr>
          <w:p>
            <w:pPr>
              <w:ind w:left="260"/>
              <w:spacing w:after="0" w:line="197" w:lineRule="exact"/>
              <w:rPr>
                <w:sz w:val="20"/>
                <w:szCs w:val="20"/>
                <w:color w:val="auto"/>
              </w:rPr>
            </w:pPr>
            <w:r>
              <w:rPr>
                <w:rFonts w:ascii="Arial" w:cs="Arial" w:eastAsia="Arial" w:hAnsi="Arial"/>
                <w:sz w:val="20"/>
                <w:szCs w:val="20"/>
                <w:color w:val="auto"/>
              </w:rPr>
              <w:t>Total permits and other intangibles, net</w:t>
            </w:r>
          </w:p>
        </w:tc>
        <w:tc>
          <w:tcPr>
            <w:tcW w:w="260" w:type="dxa"/>
            <w:vAlign w:val="bottom"/>
            <w:tcBorders>
              <w:top w:val="single" w:sz="8" w:color="auto"/>
              <w:bottom w:val="single" w:sz="8" w:color="auto"/>
            </w:tcBorders>
            <w:shd w:val="clear" w:color="auto" w:fill="E6E6E6"/>
          </w:tcPr>
          <w:p>
            <w:pPr>
              <w:jc w:val="right"/>
              <w:ind w:right="21"/>
              <w:spacing w:after="0" w:line="197"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shd w:val="clear" w:color="auto" w:fill="E6E6E6"/>
          </w:tcPr>
          <w:p>
            <w:pPr>
              <w:jc w:val="right"/>
              <w:spacing w:after="0" w:line="197" w:lineRule="exact"/>
              <w:rPr>
                <w:sz w:val="20"/>
                <w:szCs w:val="20"/>
                <w:color w:val="auto"/>
              </w:rPr>
            </w:pPr>
            <w:r>
              <w:rPr>
                <w:rFonts w:ascii="Arial" w:cs="Arial" w:eastAsia="Arial" w:hAnsi="Arial"/>
                <w:sz w:val="20"/>
                <w:szCs w:val="20"/>
                <w:color w:val="auto"/>
              </w:rPr>
              <w:t>701,987</w:t>
            </w:r>
          </w:p>
        </w:tc>
        <w:tc>
          <w:tcPr>
            <w:tcW w:w="80" w:type="dxa"/>
            <w:vAlign w:val="bottom"/>
            <w:tcBorders>
              <w:top w:val="single" w:sz="8" w:color="E6E6E6"/>
              <w:bottom w:val="single" w:sz="8" w:color="E6E6E6"/>
            </w:tcBorders>
            <w:shd w:val="clear" w:color="auto" w:fill="E6E6E6"/>
          </w:tcPr>
          <w:p>
            <w:pPr>
              <w:spacing w:after="0"/>
              <w:rPr>
                <w:sz w:val="20"/>
                <w:szCs w:val="20"/>
                <w:color w:val="auto"/>
              </w:rPr>
            </w:pPr>
          </w:p>
        </w:tc>
        <w:tc>
          <w:tcPr>
            <w:tcW w:w="1200" w:type="dxa"/>
            <w:vAlign w:val="bottom"/>
            <w:tcBorders>
              <w:top w:val="single" w:sz="8" w:color="auto"/>
              <w:bottom w:val="single" w:sz="8" w:color="auto"/>
            </w:tcBorders>
            <w:gridSpan w:val="2"/>
            <w:shd w:val="clear" w:color="auto" w:fill="E6E6E6"/>
          </w:tcPr>
          <w:p>
            <w:pPr>
              <w:jc w:val="right"/>
              <w:spacing w:after="0" w:line="197" w:lineRule="exact"/>
              <w:rPr>
                <w:sz w:val="20"/>
                <w:szCs w:val="20"/>
                <w:color w:val="auto"/>
              </w:rPr>
            </w:pPr>
            <w:r>
              <w:rPr>
                <w:rFonts w:ascii="Arial" w:cs="Arial" w:eastAsia="Arial" w:hAnsi="Arial"/>
                <w:sz w:val="20"/>
                <w:szCs w:val="20"/>
                <w:color w:val="auto"/>
              </w:rPr>
              <w:t>100.0 %</w:t>
            </w:r>
          </w:p>
        </w:tc>
        <w:tc>
          <w:tcPr>
            <w:tcW w:w="20" w:type="dxa"/>
            <w:vAlign w:val="bottom"/>
            <w:tcBorders>
              <w:top w:val="single" w:sz="8" w:color="auto"/>
              <w:bottom w:val="single" w:sz="8" w:color="auto"/>
            </w:tcBorders>
            <w:shd w:val="clear" w:color="auto" w:fill="E6E6E6"/>
          </w:tcPr>
          <w:p>
            <w:pPr>
              <w:spacing w:after="0"/>
              <w:rPr>
                <w:sz w:val="20"/>
                <w:szCs w:val="20"/>
                <w:color w:val="auto"/>
              </w:rPr>
            </w:pPr>
          </w:p>
        </w:tc>
        <w:tc>
          <w:tcPr>
            <w:tcW w:w="80" w:type="dxa"/>
            <w:vAlign w:val="bottom"/>
            <w:tcBorders>
              <w:top w:val="single" w:sz="8" w:color="E6E6E6"/>
              <w:bottom w:val="single" w:sz="8" w:color="E6E6E6"/>
            </w:tcBorders>
            <w:gridSpan w:val="2"/>
            <w:shd w:val="clear" w:color="auto" w:fill="E6E6E6"/>
          </w:tcPr>
          <w:p>
            <w:pPr>
              <w:spacing w:after="0"/>
              <w:rPr>
                <w:sz w:val="20"/>
                <w:szCs w:val="20"/>
                <w:color w:val="auto"/>
              </w:rPr>
            </w:pPr>
          </w:p>
        </w:tc>
        <w:tc>
          <w:tcPr>
            <w:tcW w:w="260" w:type="dxa"/>
            <w:vAlign w:val="bottom"/>
            <w:tcBorders>
              <w:top w:val="single" w:sz="8" w:color="auto"/>
              <w:bottom w:val="single" w:sz="8" w:color="auto"/>
            </w:tcBorders>
            <w:shd w:val="clear" w:color="auto" w:fill="E6E6E6"/>
          </w:tcPr>
          <w:p>
            <w:pPr>
              <w:jc w:val="right"/>
              <w:ind w:right="21"/>
              <w:spacing w:after="0" w:line="197"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gridSpan w:val="3"/>
            <w:shd w:val="clear" w:color="auto" w:fill="E6E6E6"/>
          </w:tcPr>
          <w:p>
            <w:pPr>
              <w:jc w:val="right"/>
              <w:spacing w:after="0" w:line="197" w:lineRule="exact"/>
              <w:rPr>
                <w:sz w:val="20"/>
                <w:szCs w:val="20"/>
                <w:color w:val="auto"/>
              </w:rPr>
            </w:pPr>
            <w:r>
              <w:rPr>
                <w:rFonts w:ascii="Arial" w:cs="Arial" w:eastAsia="Arial" w:hAnsi="Arial"/>
                <w:sz w:val="20"/>
                <w:szCs w:val="20"/>
                <w:color w:val="auto"/>
              </w:rPr>
              <w:t>602,797</w:t>
            </w:r>
          </w:p>
        </w:tc>
        <w:tc>
          <w:tcPr>
            <w:tcW w:w="80" w:type="dxa"/>
            <w:vAlign w:val="bottom"/>
            <w:tcBorders>
              <w:top w:val="single" w:sz="8" w:color="E6E6E6"/>
              <w:bottom w:val="single" w:sz="8" w:color="E6E6E6"/>
            </w:tcBorders>
            <w:shd w:val="clear" w:color="auto" w:fill="E6E6E6"/>
          </w:tcPr>
          <w:p>
            <w:pPr>
              <w:spacing w:after="0"/>
              <w:rPr>
                <w:sz w:val="20"/>
                <w:szCs w:val="20"/>
                <w:color w:val="auto"/>
              </w:rPr>
            </w:pPr>
          </w:p>
        </w:tc>
        <w:tc>
          <w:tcPr>
            <w:tcW w:w="1280" w:type="dxa"/>
            <w:vAlign w:val="bottom"/>
            <w:tcBorders>
              <w:top w:val="single" w:sz="8" w:color="auto"/>
              <w:bottom w:val="single" w:sz="8" w:color="auto"/>
            </w:tcBorders>
            <w:shd w:val="clear" w:color="auto" w:fill="E6E6E6"/>
          </w:tcPr>
          <w:p>
            <w:pPr>
              <w:jc w:val="right"/>
              <w:spacing w:after="0" w:line="197" w:lineRule="exact"/>
              <w:rPr>
                <w:sz w:val="20"/>
                <w:szCs w:val="20"/>
                <w:color w:val="auto"/>
              </w:rPr>
            </w:pPr>
            <w:r>
              <w:rPr>
                <w:rFonts w:ascii="Arial" w:cs="Arial" w:eastAsia="Arial" w:hAnsi="Arial"/>
                <w:sz w:val="20"/>
                <w:szCs w:val="20"/>
                <w:color w:val="auto"/>
              </w:rPr>
              <w:t>100.0 %</w:t>
            </w: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7380" w:type="dxa"/>
            <w:vAlign w:val="bottom"/>
            <w:gridSpan w:val="6"/>
          </w:tcPr>
          <w:p>
            <w:pPr>
              <w:ind w:left="700"/>
              <w:spacing w:after="0"/>
              <w:rPr>
                <w:sz w:val="20"/>
                <w:szCs w:val="20"/>
                <w:color w:val="auto"/>
              </w:rPr>
            </w:pPr>
            <w:r>
              <w:rPr>
                <w:rFonts w:ascii="Arial" w:cs="Arial" w:eastAsia="Arial" w:hAnsi="Arial"/>
                <w:sz w:val="20"/>
                <w:szCs w:val="20"/>
                <w:color w:val="auto"/>
                <w:w w:val="92"/>
              </w:rPr>
              <w:t>The following table presents the total assets by geographical area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9"/>
        </w:trPr>
        <w:tc>
          <w:tcPr>
            <w:tcW w:w="20" w:type="dxa"/>
            <w:vAlign w:val="bottom"/>
            <w:tcBorders>
              <w:bottom w:val="single" w:sz="8" w:color="E6E6E6"/>
            </w:tcBorders>
          </w:tcPr>
          <w:p>
            <w:pPr>
              <w:spacing w:after="0"/>
              <w:rPr>
                <w:sz w:val="24"/>
                <w:szCs w:val="24"/>
                <w:color w:val="auto"/>
              </w:rPr>
            </w:pPr>
          </w:p>
        </w:tc>
        <w:tc>
          <w:tcPr>
            <w:tcW w:w="486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98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E6E6E6"/>
            </w:tcBorders>
          </w:tcPr>
          <w:p>
            <w:pPr>
              <w:spacing w:after="0"/>
              <w:rPr>
                <w:sz w:val="24"/>
                <w:szCs w:val="24"/>
                <w:color w:val="auto"/>
              </w:rPr>
            </w:pPr>
          </w:p>
        </w:tc>
        <w:tc>
          <w:tcPr>
            <w:tcW w:w="1760" w:type="dxa"/>
            <w:vAlign w:val="bottom"/>
            <w:tcBorders>
              <w:bottom w:val="single" w:sz="8" w:color="auto"/>
            </w:tcBorders>
            <w:gridSpan w:val="6"/>
          </w:tcPr>
          <w:p>
            <w:pPr>
              <w:jc w:val="right"/>
              <w:ind w:right="146"/>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tcBorders>
              <w:bottom w:val="single" w:sz="8" w:color="E6E6E6"/>
            </w:tcBorders>
          </w:tcPr>
          <w:p>
            <w:pPr>
              <w:spacing w:after="0"/>
              <w:rPr>
                <w:sz w:val="24"/>
                <w:szCs w:val="24"/>
                <w:color w:val="auto"/>
              </w:rPr>
            </w:pPr>
          </w:p>
        </w:tc>
        <w:tc>
          <w:tcPr>
            <w:tcW w:w="17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r>
      <w:tr>
        <w:trPr>
          <w:trHeight w:val="271"/>
        </w:trPr>
        <w:tc>
          <w:tcPr>
            <w:tcW w:w="20" w:type="dxa"/>
            <w:vAlign w:val="bottom"/>
            <w:shd w:val="clear" w:color="auto" w:fill="E6E6E6"/>
          </w:tcPr>
          <w:p>
            <w:pPr>
              <w:spacing w:after="0"/>
              <w:rPr>
                <w:sz w:val="23"/>
                <w:szCs w:val="23"/>
                <w:color w:val="auto"/>
              </w:rPr>
            </w:pPr>
          </w:p>
        </w:tc>
        <w:tc>
          <w:tcPr>
            <w:tcW w:w="4860" w:type="dxa"/>
            <w:vAlign w:val="bottom"/>
            <w:shd w:val="clear" w:color="auto" w:fill="E6E6E6"/>
          </w:tcPr>
          <w:p>
            <w:pPr>
              <w:ind w:left="40"/>
              <w:spacing w:after="0"/>
              <w:rPr>
                <w:sz w:val="20"/>
                <w:szCs w:val="20"/>
                <w:color w:val="auto"/>
              </w:rPr>
            </w:pPr>
            <w:r>
              <w:rPr>
                <w:rFonts w:ascii="Arial" w:cs="Arial" w:eastAsia="Arial" w:hAnsi="Arial"/>
                <w:sz w:val="20"/>
                <w:szCs w:val="20"/>
                <w:color w:val="auto"/>
              </w:rPr>
              <w:t>United States</w:t>
            </w:r>
          </w:p>
        </w:tc>
        <w:tc>
          <w:tcPr>
            <w:tcW w:w="260" w:type="dxa"/>
            <w:vAlign w:val="bottom"/>
            <w:shd w:val="clear" w:color="auto" w:fill="E6E6E6"/>
          </w:tcPr>
          <w:p>
            <w:pPr>
              <w:spacing w:after="0"/>
              <w:rPr>
                <w:sz w:val="23"/>
                <w:szCs w:val="23"/>
                <w:color w:val="auto"/>
              </w:rPr>
            </w:pPr>
          </w:p>
        </w:tc>
        <w:tc>
          <w:tcPr>
            <w:tcW w:w="980" w:type="dxa"/>
            <w:vAlign w:val="bottom"/>
            <w:shd w:val="clear" w:color="auto" w:fill="E6E6E6"/>
          </w:tcPr>
          <w:p>
            <w:pPr>
              <w:spacing w:after="0"/>
              <w:rPr>
                <w:sz w:val="23"/>
                <w:szCs w:val="23"/>
                <w:color w:val="auto"/>
              </w:rPr>
            </w:pPr>
          </w:p>
        </w:tc>
        <w:tc>
          <w:tcPr>
            <w:tcW w:w="1280" w:type="dxa"/>
            <w:vAlign w:val="bottom"/>
            <w:gridSpan w:val="3"/>
            <w:shd w:val="clear" w:color="auto" w:fill="E6E6E6"/>
          </w:tcPr>
          <w:p>
            <w:pPr>
              <w:jc w:val="right"/>
              <w:ind w:right="631"/>
              <w:spacing w:after="0"/>
              <w:rPr>
                <w:sz w:val="20"/>
                <w:szCs w:val="20"/>
                <w:color w:val="auto"/>
              </w:rPr>
            </w:pPr>
            <w:r>
              <w:rPr>
                <w:rFonts w:ascii="Arial" w:cs="Arial" w:eastAsia="Arial" w:hAnsi="Arial"/>
                <w:sz w:val="20"/>
                <w:szCs w:val="20"/>
                <w:color w:val="auto"/>
              </w:rPr>
              <w:t>$</w:t>
            </w:r>
          </w:p>
        </w:tc>
        <w:tc>
          <w:tcPr>
            <w:tcW w:w="880" w:type="dxa"/>
            <w:vAlign w:val="bottom"/>
            <w:gridSpan w:val="5"/>
            <w:shd w:val="clear" w:color="auto" w:fill="E6E6E6"/>
          </w:tcPr>
          <w:p>
            <w:pPr>
              <w:jc w:val="right"/>
              <w:spacing w:after="0"/>
              <w:rPr>
                <w:sz w:val="20"/>
                <w:szCs w:val="20"/>
                <w:color w:val="auto"/>
              </w:rPr>
            </w:pPr>
            <w:r>
              <w:rPr>
                <w:rFonts w:ascii="Arial" w:cs="Arial" w:eastAsia="Arial" w:hAnsi="Arial"/>
                <w:sz w:val="20"/>
                <w:szCs w:val="20"/>
                <w:color w:val="auto"/>
                <w:w w:val="87"/>
              </w:rPr>
              <w:t>6,756,813</w:t>
            </w:r>
          </w:p>
        </w:tc>
        <w:tc>
          <w:tcPr>
            <w:tcW w:w="80" w:type="dxa"/>
            <w:vAlign w:val="bottom"/>
            <w:shd w:val="clear" w:color="auto" w:fill="E6E6E6"/>
          </w:tcPr>
          <w:p>
            <w:pPr>
              <w:spacing w:after="0"/>
              <w:rPr>
                <w:sz w:val="23"/>
                <w:szCs w:val="23"/>
                <w:color w:val="auto"/>
              </w:rPr>
            </w:pPr>
          </w:p>
        </w:tc>
        <w:tc>
          <w:tcPr>
            <w:tcW w:w="380" w:type="dxa"/>
            <w:vAlign w:val="bottom"/>
            <w:shd w:val="clear" w:color="auto" w:fill="E6E6E6"/>
          </w:tcPr>
          <w:p>
            <w:pPr>
              <w:jc w:val="right"/>
              <w:ind w:right="148"/>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5,786,937</w:t>
            </w:r>
          </w:p>
        </w:tc>
        <w:tc>
          <w:tcPr>
            <w:tcW w:w="20" w:type="dxa"/>
            <w:vAlign w:val="bottom"/>
            <w:shd w:val="clear" w:color="auto" w:fill="E6E6E6"/>
          </w:tcPr>
          <w:p>
            <w:pPr>
              <w:spacing w:after="0"/>
              <w:rPr>
                <w:sz w:val="23"/>
                <w:szCs w:val="23"/>
                <w:color w:val="auto"/>
              </w:rPr>
            </w:pPr>
          </w:p>
        </w:tc>
      </w:tr>
      <w:tr>
        <w:trPr>
          <w:trHeight w:val="271"/>
        </w:trPr>
        <w:tc>
          <w:tcPr>
            <w:tcW w:w="20" w:type="dxa"/>
            <w:vAlign w:val="bottom"/>
            <w:tcBorders>
              <w:bottom w:val="single" w:sz="8" w:color="E6E6E6"/>
            </w:tcBorders>
          </w:tcPr>
          <w:p>
            <w:pPr>
              <w:spacing w:after="0"/>
              <w:rPr>
                <w:sz w:val="23"/>
                <w:szCs w:val="23"/>
                <w:color w:val="auto"/>
              </w:rPr>
            </w:pPr>
          </w:p>
        </w:tc>
        <w:tc>
          <w:tcPr>
            <w:tcW w:w="48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Canada and other foreign</w:t>
            </w:r>
          </w:p>
        </w:tc>
        <w:tc>
          <w:tcPr>
            <w:tcW w:w="260" w:type="dxa"/>
            <w:vAlign w:val="bottom"/>
            <w:tcBorders>
              <w:bottom w:val="single" w:sz="8" w:color="E6E6E6"/>
            </w:tcBorders>
          </w:tcPr>
          <w:p>
            <w:pPr>
              <w:spacing w:after="0"/>
              <w:rPr>
                <w:sz w:val="23"/>
                <w:szCs w:val="23"/>
                <w:color w:val="auto"/>
              </w:rPr>
            </w:pPr>
          </w:p>
        </w:tc>
        <w:tc>
          <w:tcPr>
            <w:tcW w:w="980" w:type="dxa"/>
            <w:vAlign w:val="bottom"/>
            <w:tcBorders>
              <w:bottom w:val="single" w:sz="8" w:color="E6E6E6"/>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320" w:type="dxa"/>
            <w:vAlign w:val="bottom"/>
            <w:tcBorders>
              <w:bottom w:val="single" w:sz="8" w:color="E6E6E6"/>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620,465</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595,932</w:t>
            </w:r>
          </w:p>
        </w:tc>
        <w:tc>
          <w:tcPr>
            <w:tcW w:w="20" w:type="dxa"/>
            <w:vAlign w:val="bottom"/>
            <w:tcBorders>
              <w:bottom w:val="single" w:sz="8" w:color="auto"/>
            </w:tcBorders>
          </w:tcPr>
          <w:p>
            <w:pPr>
              <w:spacing w:after="0"/>
              <w:rPr>
                <w:sz w:val="23"/>
                <w:szCs w:val="23"/>
                <w:color w:val="auto"/>
              </w:rPr>
            </w:pPr>
          </w:p>
        </w:tc>
      </w:tr>
      <w:tr>
        <w:trPr>
          <w:trHeight w:val="280"/>
        </w:trPr>
        <w:tc>
          <w:tcPr>
            <w:tcW w:w="20" w:type="dxa"/>
            <w:vAlign w:val="bottom"/>
            <w:tcBorders>
              <w:bottom w:val="single" w:sz="8" w:color="E6E6E6"/>
            </w:tcBorders>
            <w:shd w:val="clear" w:color="auto" w:fill="E6E6E6"/>
          </w:tcPr>
          <w:p>
            <w:pPr>
              <w:spacing w:after="0"/>
              <w:rPr>
                <w:sz w:val="24"/>
                <w:szCs w:val="24"/>
                <w:color w:val="auto"/>
              </w:rPr>
            </w:pPr>
          </w:p>
        </w:tc>
        <w:tc>
          <w:tcPr>
            <w:tcW w:w="48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w:t>
            </w:r>
          </w:p>
        </w:tc>
        <w:tc>
          <w:tcPr>
            <w:tcW w:w="26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gridSpan w:val="2"/>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ind w:right="63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gridSpan w:val="5"/>
            <w:shd w:val="clear" w:color="auto" w:fill="E6E6E6"/>
          </w:tcPr>
          <w:p>
            <w:pPr>
              <w:jc w:val="right"/>
              <w:spacing w:after="0"/>
              <w:rPr>
                <w:sz w:val="20"/>
                <w:szCs w:val="20"/>
                <w:color w:val="auto"/>
              </w:rPr>
            </w:pPr>
            <w:r>
              <w:rPr>
                <w:rFonts w:ascii="Arial" w:cs="Arial" w:eastAsia="Arial" w:hAnsi="Arial"/>
                <w:sz w:val="20"/>
                <w:szCs w:val="20"/>
                <w:color w:val="auto"/>
                <w:w w:val="87"/>
              </w:rPr>
              <w:t>7,377,278</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48"/>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20"/>
                <w:szCs w:val="20"/>
                <w:color w:val="auto"/>
              </w:rPr>
              <w:t>6,382,869</w:t>
            </w:r>
          </w:p>
        </w:tc>
        <w:tc>
          <w:tcPr>
            <w:tcW w:w="20" w:type="dxa"/>
            <w:vAlign w:val="bottom"/>
            <w:tcBorders>
              <w:bottom w:val="single" w:sz="8" w:color="auto"/>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-1863725</wp:posOffset>
            </wp:positionV>
            <wp:extent cx="3346450" cy="50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6">
                      <a:extLst>
                        <a:ext uri="{28A0092B-C50C-407E-A947-70E740481C1C}"/>
                      </a:extLst>
                    </a:blip>
                    <a:srcRect/>
                    <a:stretch>
                      <a:fillRect/>
                    </a:stretch>
                  </pic:blipFill>
                  <pic:spPr bwMode="auto">
                    <a:xfrm>
                      <a:off x="0" y="0"/>
                      <a:ext cx="3346450" cy="5016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-1113155</wp:posOffset>
            </wp:positionV>
            <wp:extent cx="3346450" cy="501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7">
                      <a:extLst>
                        <a:ext uri="{28A0092B-C50C-407E-A947-70E740481C1C}"/>
                      </a:extLst>
                    </a:blip>
                    <a:srcRect/>
                    <a:stretch>
                      <a:fillRect/>
                    </a:stretch>
                  </pic:blipFill>
                  <pic:spPr bwMode="auto">
                    <a:xfrm>
                      <a:off x="0" y="0"/>
                      <a:ext cx="3346450" cy="5016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-43180</wp:posOffset>
            </wp:positionV>
            <wp:extent cx="2305050" cy="501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8">
                      <a:extLst>
                        <a:ext uri="{28A0092B-C50C-407E-A947-70E740481C1C}"/>
                      </a:extLst>
                    </a:blip>
                    <a:srcRect/>
                    <a:stretch>
                      <a:fillRect/>
                    </a:stretch>
                  </pic:blipFill>
                  <pic:spPr bwMode="auto">
                    <a:xfrm>
                      <a:off x="0" y="0"/>
                      <a:ext cx="2305050" cy="50165"/>
                    </a:xfrm>
                    <a:prstGeom prst="rect">
                      <a:avLst/>
                    </a:prstGeom>
                    <a:noFill/>
                  </pic:spPr>
                </pic:pic>
              </a:graphicData>
            </a:graphic>
          </wp:anchor>
        </w:drawing>
      </w:r>
    </w:p>
    <w:p>
      <w:pPr>
        <w:sectPr>
          <w:pgSz w:w="11880" w:h="15480" w:orient="portrait"/>
          <w:cols w:equalWidth="0" w:num="1">
            <w:col w:w="10120"/>
          </w:cols>
          <w:pgMar w:left="880" w:top="33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880" w:h="15480" w:orient="portrait"/>
          <w:cols w:equalWidth="0" w:num="1">
            <w:col w:w="10120"/>
          </w:cols>
          <w:pgMar w:left="880" w:top="338" w:right="880" w:bottom="0" w:gutter="0" w:footer="0" w:header="0"/>
          <w:type w:val="continuous"/>
        </w:sectPr>
      </w:pPr>
    </w:p>
    <w:bookmarkStart w:id="101" w:name="page102"/>
    <w:bookmarkEnd w:id="101"/>
    <w:p>
      <w:pPr>
        <w:spacing w:after="0" w:line="280"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None.</w:t>
      </w:r>
    </w:p>
    <w:p>
      <w:pPr>
        <w:spacing w:after="0" w:line="157"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32" w:lineRule="exact"/>
        <w:rPr>
          <w:sz w:val="20"/>
          <w:szCs w:val="20"/>
          <w:color w:val="auto"/>
        </w:rPr>
      </w:pPr>
    </w:p>
    <w:p>
      <w:pPr>
        <w:ind w:right="40" w:firstLine="443"/>
        <w:spacing w:after="0" w:line="282" w:lineRule="auto"/>
        <w:rPr>
          <w:sz w:val="20"/>
          <w:szCs w:val="20"/>
          <w:color w:val="auto"/>
        </w:rPr>
      </w:pPr>
      <w:r>
        <w:rPr>
          <w:rFonts w:ascii="Arial" w:cs="Arial" w:eastAsia="Arial" w:hAnsi="Arial"/>
          <w:sz w:val="18"/>
          <w:szCs w:val="18"/>
          <w:color w:val="auto"/>
        </w:rPr>
        <w:t>Based on an evaluation under the supervision and with the participation of our Co-Chief Executive Officers and Chief Financial Officer, as of the end of the period covered by this Annual Report on Form 10-K, our Co-Chief Executive Officers and Chief Financial Officer have concluded that our disclosure controls and procedures (as defined under Rule 13a-15(e) and 15d-15(e) under the Securities Exchange Act of 1934, as amended (the “Exchange Act”)) were effective as of December 31, 2024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132" w:lineRule="exact"/>
        <w:rPr>
          <w:sz w:val="20"/>
          <w:szCs w:val="20"/>
          <w:color w:val="auto"/>
        </w:rPr>
      </w:pPr>
    </w:p>
    <w:p>
      <w:pPr>
        <w:ind w:right="100" w:firstLine="488"/>
        <w:spacing w:after="0" w:line="289"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that term is defined in Exchange Act Rule 13a-15(f). Under the supervision and with the participation of the Company's management, including the Co-Chief Executive Officers and Chief Financial Officer, the Company conducted an evaluation of its internal control over financial reporting based on the framework in </w:t>
      </w:r>
      <w:r>
        <w:rPr>
          <w:rFonts w:ascii="Arial" w:cs="Arial" w:eastAsia="Arial" w:hAnsi="Arial"/>
          <w:sz w:val="18"/>
          <w:szCs w:val="18"/>
          <w:b w:val="1"/>
          <w:bCs w:val="1"/>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(2013) </w:t>
      </w:r>
      <w:r>
        <w:rPr>
          <w:rFonts w:ascii="Arial" w:cs="Arial" w:eastAsia="Arial" w:hAnsi="Arial"/>
          <w:sz w:val="18"/>
          <w:szCs w:val="18"/>
          <w:color w:val="auto"/>
        </w:rPr>
        <w:t>issued by the Committee of Sponsoring Organizations of the Treadway Commission.</w:t>
      </w:r>
    </w:p>
    <w:p>
      <w:pPr>
        <w:spacing w:after="0" w:line="54" w:lineRule="exact"/>
        <w:rPr>
          <w:sz w:val="20"/>
          <w:szCs w:val="20"/>
          <w:color w:val="auto"/>
        </w:rPr>
      </w:pPr>
    </w:p>
    <w:p>
      <w:pPr>
        <w:ind w:firstLine="709"/>
        <w:spacing w:after="0" w:line="294" w:lineRule="auto"/>
        <w:rPr>
          <w:sz w:val="20"/>
          <w:szCs w:val="20"/>
          <w:color w:val="auto"/>
        </w:rPr>
      </w:pPr>
      <w:r>
        <w:rPr>
          <w:rFonts w:ascii="Arial" w:cs="Arial" w:eastAsia="Arial" w:hAnsi="Arial"/>
          <w:sz w:val="18"/>
          <w:szCs w:val="18"/>
          <w:color w:val="auto"/>
        </w:rPr>
        <w:t xml:space="preserve">The Company's management evaluated the effectiveness of Clean Harbors' internal control over financial reporting as of December 31, 2024. Based on their evaluation under the framework in </w:t>
      </w:r>
      <w:r>
        <w:rPr>
          <w:rFonts w:ascii="Arial" w:cs="Arial" w:eastAsia="Arial" w:hAnsi="Arial"/>
          <w:sz w:val="18"/>
          <w:szCs w:val="18"/>
          <w:b w:val="1"/>
          <w:bCs w:val="1"/>
          <w:i w:val="1"/>
          <w:iCs w:val="1"/>
          <w:color w:val="auto"/>
        </w:rPr>
        <w:t>Internal Control—Integrated Framework (2013)</w:t>
      </w:r>
      <w:r>
        <w:rPr>
          <w:rFonts w:ascii="Arial" w:cs="Arial" w:eastAsia="Arial" w:hAnsi="Arial"/>
          <w:sz w:val="18"/>
          <w:szCs w:val="18"/>
          <w:color w:val="auto"/>
        </w:rPr>
        <w:t xml:space="preserve">, the Company's management concluded that the Company maintained effective internal control over financial reporting as of December 31, 2024 based on the criteria in the </w:t>
      </w:r>
      <w:r>
        <w:rPr>
          <w:rFonts w:ascii="Arial" w:cs="Arial" w:eastAsia="Arial" w:hAnsi="Arial"/>
          <w:sz w:val="18"/>
          <w:szCs w:val="18"/>
          <w:b w:val="1"/>
          <w:bCs w:val="1"/>
          <w:i w:val="1"/>
          <w:iCs w:val="1"/>
          <w:color w:val="auto"/>
        </w:rPr>
        <w:t>Internal Control—Integrated Framework (2013)</w:t>
      </w:r>
      <w:r>
        <w:rPr>
          <w:rFonts w:ascii="Arial" w:cs="Arial" w:eastAsia="Arial" w:hAnsi="Arial"/>
          <w:sz w:val="18"/>
          <w:szCs w:val="18"/>
          <w:color w:val="auto"/>
        </w:rPr>
        <w:t>.</w:t>
      </w:r>
    </w:p>
    <w:p>
      <w:pPr>
        <w:spacing w:after="0" w:line="50" w:lineRule="exact"/>
        <w:rPr>
          <w:sz w:val="20"/>
          <w:szCs w:val="20"/>
          <w:color w:val="auto"/>
        </w:rPr>
      </w:pPr>
    </w:p>
    <w:p>
      <w:pPr>
        <w:ind w:right="160" w:firstLine="709"/>
        <w:spacing w:after="0" w:line="303" w:lineRule="auto"/>
        <w:rPr>
          <w:sz w:val="20"/>
          <w:szCs w:val="20"/>
          <w:color w:val="auto"/>
        </w:rPr>
      </w:pPr>
      <w:r>
        <w:rPr>
          <w:rFonts w:ascii="Arial" w:cs="Arial" w:eastAsia="Arial" w:hAnsi="Arial"/>
          <w:sz w:val="18"/>
          <w:szCs w:val="18"/>
          <w:color w:val="auto"/>
        </w:rPr>
        <w:t>Deloitte &amp; Touche LLP, the independent registered public accounting firm that audited the Company's consolidated financial statements, has issued an attestation report on the effectiveness of the Company's internal control over financial reporting as of December 31, 2024, which is included below in this Item 9A of this Annual Report on Form 10-K.</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2" w:lineRule="exact"/>
        <w:rPr>
          <w:sz w:val="20"/>
          <w:szCs w:val="20"/>
          <w:color w:val="auto"/>
        </w:rPr>
      </w:pPr>
    </w:p>
    <w:p>
      <w:pPr>
        <w:ind w:right="100" w:firstLine="709"/>
        <w:spacing w:after="0" w:line="256" w:lineRule="auto"/>
        <w:rPr>
          <w:sz w:val="20"/>
          <w:szCs w:val="20"/>
          <w:color w:val="auto"/>
        </w:rPr>
      </w:pPr>
      <w:r>
        <w:rPr>
          <w:rFonts w:ascii="Arial" w:cs="Arial" w:eastAsia="Arial" w:hAnsi="Arial"/>
          <w:sz w:val="20"/>
          <w:szCs w:val="20"/>
          <w:color w:val="auto"/>
        </w:rPr>
        <w:t>There were no changes in the Company's internal control over financial reporting identified in connection with the evaluation required by paragraph (d) of Exchange Act Rules 13a-15 or 15d-15 that was conducted during the quarter ended December 31, 2024 that have materially affected, or are reasonably likely to materially affect, the Company’s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the Effectiveness of Controls</w:t>
      </w:r>
    </w:p>
    <w:p>
      <w:pPr>
        <w:spacing w:after="0" w:line="132" w:lineRule="exact"/>
        <w:rPr>
          <w:sz w:val="20"/>
          <w:szCs w:val="20"/>
          <w:color w:val="auto"/>
        </w:rPr>
      </w:pPr>
    </w:p>
    <w:p>
      <w:pPr>
        <w:ind w:right="20" w:firstLine="709"/>
        <w:spacing w:after="0" w:line="261" w:lineRule="auto"/>
        <w:rPr>
          <w:sz w:val="20"/>
          <w:szCs w:val="20"/>
          <w:color w:val="auto"/>
        </w:rPr>
      </w:pPr>
      <w:r>
        <w:rPr>
          <w:rFonts w:ascii="Arial" w:cs="Arial" w:eastAsia="Arial" w:hAnsi="Arial"/>
          <w:sz w:val="20"/>
          <w:szCs w:val="20"/>
          <w:color w:val="auto"/>
        </w:rPr>
        <w:t>The Company's management, including the Co-Chief Executive Officers and Chief Financial Officer, does not expect that the Company's disclosure controls and procedures or the Company's internal control over financial reporting will prevent all errors and all fraud.</w:t>
      </w:r>
    </w:p>
    <w:p>
      <w:pPr>
        <w:spacing w:after="0" w:line="77" w:lineRule="exact"/>
        <w:rPr>
          <w:sz w:val="20"/>
          <w:szCs w:val="20"/>
          <w:color w:val="auto"/>
        </w:rPr>
      </w:pPr>
    </w:p>
    <w:p>
      <w:pPr>
        <w:ind w:right="20" w:firstLine="709"/>
        <w:spacing w:after="0" w:line="28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ind w:right="60" w:firstLine="709"/>
        <w:spacing w:after="0" w:line="35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 w:lineRule="exact"/>
        <w:rPr>
          <w:sz w:val="20"/>
          <w:szCs w:val="20"/>
          <w:color w:val="auto"/>
        </w:rPr>
      </w:pPr>
    </w:p>
    <w:p>
      <w:pPr>
        <w:ind w:right="40" w:firstLine="709"/>
        <w:spacing w:after="0" w:line="340" w:lineRule="auto"/>
        <w:rPr>
          <w:sz w:val="20"/>
          <w:szCs w:val="20"/>
          <w:color w:val="auto"/>
        </w:rPr>
      </w:pPr>
      <w:r>
        <w:rPr>
          <w:rFonts w:ascii="Arial" w:cs="Arial" w:eastAsia="Arial" w:hAnsi="Arial"/>
          <w:sz w:val="16"/>
          <w:szCs w:val="16"/>
          <w:color w:val="auto"/>
        </w:rPr>
        <w:t>Further, the design of disclosure controls and procedures and internal control over financial reporting must reflect the fact that there are resource constraints, and the benefits of controls must be considered relative to their costs. Because of the inherent limitations of controls and procedures and internal control over financial reporting, no evaluation of controls can provide absolute assurance that all control issues and instances of fraud, if any, within the Company have been detected.</w:t>
      </w:r>
    </w:p>
    <w:p>
      <w:pPr>
        <w:sectPr>
          <w:pgSz w:w="11880" w:h="15480" w:orient="portrait"/>
          <w:cols w:equalWidth="0" w:num="1">
            <w:col w:w="10000"/>
          </w:cols>
          <w:pgMar w:left="880" w:top="568" w:right="1000" w:bottom="0" w:gutter="0" w:footer="0" w:header="0"/>
        </w:sect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94</w:t>
      </w:r>
    </w:p>
    <w:p>
      <w:pPr>
        <w:sectPr>
          <w:pgSz w:w="11880" w:h="15480" w:orient="portrait"/>
          <w:cols w:equalWidth="0" w:num="1">
            <w:col w:w="10000"/>
          </w:cols>
          <w:pgMar w:left="880" w:top="568" w:right="1000" w:bottom="0" w:gutter="0" w:footer="0" w:header="0"/>
          <w:type w:val="continuous"/>
        </w:sectPr>
      </w:pPr>
    </w:p>
    <w:bookmarkStart w:id="102" w:name="page103"/>
    <w:bookmarkEnd w:id="102"/>
    <w:p>
      <w:pPr>
        <w:ind w:right="1660" w:firstLine="1679"/>
        <w:spacing w:after="0" w:line="454"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stockholders and the Board of Directors of Clean Harbors, Inc. </w:t>
      </w:r>
      <w:r>
        <w:rPr>
          <w:rFonts w:ascii="Arial" w:cs="Arial" w:eastAsia="Arial" w:hAnsi="Arial"/>
          <w:sz w:val="20"/>
          <w:szCs w:val="20"/>
          <w:b w:val="1"/>
          <w:bCs w:val="1"/>
          <w:color w:val="auto"/>
        </w:rPr>
        <w:t>Opinion on Internal Control over Financial Reporting</w:t>
      </w:r>
    </w:p>
    <w:p>
      <w:pPr>
        <w:spacing w:after="0" w:line="2"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color w:val="auto"/>
        </w:rPr>
        <w:t xml:space="preserve">We have audited the internal control over financial reporting of Clean Harbors, Inc. and subsidiaries (the “Company”) as of December 31, 2024, based on criteria established in </w:t>
      </w:r>
      <w:r>
        <w:rPr>
          <w:rFonts w:ascii="Arial" w:cs="Arial" w:eastAsia="Arial" w:hAnsi="Arial"/>
          <w:sz w:val="19"/>
          <w:szCs w:val="19"/>
          <w:b w:val="1"/>
          <w:bCs w:val="1"/>
          <w:i w:val="1"/>
          <w:iCs w:val="1"/>
          <w:color w:val="auto"/>
        </w:rPr>
        <w:t>Internal Control - Integrated Framework (2013)</w:t>
      </w:r>
      <w:r>
        <w:rPr>
          <w:rFonts w:ascii="Arial" w:cs="Arial" w:eastAsia="Arial" w:hAnsi="Arial"/>
          <w:sz w:val="19"/>
          <w:szCs w:val="19"/>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Arial" w:cs="Arial" w:eastAsia="Arial" w:hAnsi="Arial"/>
          <w:sz w:val="19"/>
          <w:szCs w:val="19"/>
          <w:b w:val="1"/>
          <w:bCs w:val="1"/>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Control - Integrated Framework (2013) </w:t>
      </w:r>
      <w:r>
        <w:rPr>
          <w:rFonts w:ascii="Arial" w:cs="Arial" w:eastAsia="Arial" w:hAnsi="Arial"/>
          <w:sz w:val="19"/>
          <w:szCs w:val="19"/>
          <w:color w:val="auto"/>
        </w:rPr>
        <w:t>issued by COSO.</w:t>
      </w:r>
    </w:p>
    <w:p>
      <w:pPr>
        <w:spacing w:after="0" w:line="150" w:lineRule="exact"/>
        <w:rPr>
          <w:sz w:val="20"/>
          <w:szCs w:val="20"/>
          <w:color w:val="auto"/>
        </w:rPr>
      </w:pPr>
    </w:p>
    <w:p>
      <w:pPr>
        <w:ind w:right="300"/>
        <w:spacing w:after="0" w:line="281"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(PCAOB), the consolidated financial statements as of and for the year ended December 31, 2024, of the Company and our report dated February 19, 2025 expressed an unqualified opinion on those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b w:val="1"/>
          <w:bCs w:val="1"/>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Annual Report on Internal Control over Financial Reporting</w:t>
      </w:r>
      <w:r>
        <w:rPr>
          <w:rFonts w:ascii="Arial" w:cs="Arial" w:eastAsia="Arial" w:hAnsi="Arial"/>
          <w:sz w:val="18"/>
          <w:szCs w:val="18"/>
          <w:color w:val="auto"/>
        </w:rPr>
        <w:t>. Our responsibility is to express an opinion on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10"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jc w:val="both"/>
        <w:ind w:right="440"/>
        <w:spacing w:after="0" w:line="35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February 19, 2025</w:t>
      </w:r>
    </w:p>
    <w:p>
      <w:pPr>
        <w:sectPr>
          <w:pgSz w:w="11880" w:h="15480" w:orient="portrait"/>
          <w:cols w:equalWidth="0" w:num="1">
            <w:col w:w="10100"/>
          </w:cols>
          <w:pgMar w:left="880" w:top="56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880" w:h="15480" w:orient="portrait"/>
          <w:cols w:equalWidth="0" w:num="1">
            <w:col w:w="10100"/>
          </w:cols>
          <w:pgMar w:left="880" w:top="568" w:right="900" w:bottom="0" w:gutter="0" w:footer="0" w:header="0"/>
          <w:type w:val="continuous"/>
        </w:sectPr>
      </w:pPr>
    </w:p>
    <w:bookmarkStart w:id="103" w:name="page104"/>
    <w:bookmarkEnd w:id="103"/>
    <w:p>
      <w:pPr>
        <w:spacing w:after="0"/>
        <w:tabs>
          <w:tab w:leader="none" w:pos="1040" w:val="left"/>
        </w:tabs>
        <w:rPr>
          <w:sz w:val="20"/>
          <w:szCs w:val="20"/>
          <w:color w:val="auto"/>
        </w:rPr>
      </w:pPr>
      <w:r>
        <w:rPr>
          <w:rFonts w:ascii="Arial" w:cs="Arial" w:eastAsia="Arial" w:hAnsi="Arial"/>
          <w:sz w:val="20"/>
          <w:szCs w:val="20"/>
          <w:b w:val="1"/>
          <w:bCs w:val="1"/>
          <w:color w:val="auto"/>
        </w:rPr>
        <w:t>ITEM 9B.</w:t>
        <w:tab/>
        <w:t>OTHER INFORMATION</w:t>
      </w:r>
    </w:p>
    <w:p>
      <w:pPr>
        <w:spacing w:after="0" w:line="171" w:lineRule="exact"/>
        <w:rPr>
          <w:sz w:val="20"/>
          <w:szCs w:val="20"/>
          <w:color w:val="auto"/>
        </w:rPr>
      </w:pPr>
    </w:p>
    <w:p>
      <w:pPr>
        <w:ind w:right="120" w:firstLine="709"/>
        <w:spacing w:after="0" w:line="245" w:lineRule="auto"/>
        <w:rPr>
          <w:sz w:val="20"/>
          <w:szCs w:val="20"/>
          <w:color w:val="auto"/>
        </w:rPr>
      </w:pPr>
      <w:r>
        <w:rPr>
          <w:rFonts w:ascii="Arial" w:cs="Arial" w:eastAsia="Arial" w:hAnsi="Arial"/>
          <w:sz w:val="20"/>
          <w:szCs w:val="20"/>
          <w:color w:val="auto"/>
        </w:rPr>
        <w:t>During the quarter ended December 31, 2024, no director or “officer” (as defined in Rule 16a-1(f)) of Clean Harbors, Inc. adopted or terminated a “Rule 10b5-1 trading arrangement” or “non-Rule 10b5-1 trading arrangement,” as each term is defined in Item 408(a) of Regulation S-K.</w:t>
      </w:r>
    </w:p>
    <w:p>
      <w:pPr>
        <w:spacing w:after="0" w:line="108"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9"/>
          <w:szCs w:val="19"/>
          <w:b w:val="1"/>
          <w:bCs w:val="1"/>
          <w:color w:val="auto"/>
        </w:rPr>
        <w:t>DISCLOSURE REGARDING FOREIGN JURISDICTIONS THAT PREVENT INSPECTIONS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Not applicable.</w:t>
      </w:r>
    </w:p>
    <w:p>
      <w:pPr>
        <w:spacing w:after="0" w:line="157"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PART III</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Except for the information set forth below the information called for by </w:t>
      </w:r>
      <w:r>
        <w:rPr>
          <w:rFonts w:ascii="Arial" w:cs="Arial" w:eastAsia="Arial" w:hAnsi="Arial"/>
          <w:sz w:val="18"/>
          <w:szCs w:val="18"/>
          <w:b w:val="1"/>
          <w:bCs w:val="1"/>
          <w:color w:val="auto"/>
        </w:rPr>
        <w:t>Item 10 (Directors, Executive Officers and</w:t>
      </w:r>
    </w:p>
    <w:p>
      <w:pPr>
        <w:spacing w:after="0" w:line="26"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b w:val="1"/>
          <w:bCs w:val="1"/>
          <w:color w:val="auto"/>
        </w:rPr>
        <w:t xml:space="preserve">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w:t>
      </w:r>
      <w:r>
        <w:rPr>
          <w:rFonts w:ascii="Arial" w:cs="Arial" w:eastAsia="Arial" w:hAnsi="Arial"/>
          <w:sz w:val="20"/>
          <w:szCs w:val="20"/>
          <w:color w:val="auto"/>
        </w:rPr>
        <w:t>is incorporated herein by reference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registrant's definitive proxy statement for its 2025 annual meeting of shareholders, which definitive proxy statement will be filed with the Securities and Exchange Commission within 120 days of the end of the fiscal year covered by this Annual Report on Form 10-K (the “2025 proxy statement”).</w:t>
      </w:r>
    </w:p>
    <w:p>
      <w:pPr>
        <w:spacing w:after="0" w:line="116"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171" w:lineRule="exact"/>
        <w:rPr>
          <w:sz w:val="20"/>
          <w:szCs w:val="20"/>
          <w:color w:val="auto"/>
        </w:rPr>
      </w:pPr>
    </w:p>
    <w:p>
      <w:pPr>
        <w:jc w:val="both"/>
        <w:ind w:right="40" w:firstLine="709"/>
        <w:spacing w:after="0" w:line="293" w:lineRule="auto"/>
        <w:rPr>
          <w:sz w:val="20"/>
          <w:szCs w:val="20"/>
          <w:color w:val="auto"/>
        </w:rPr>
      </w:pPr>
      <w:r>
        <w:rPr>
          <w:rFonts w:ascii="Arial" w:cs="Arial" w:eastAsia="Arial" w:hAnsi="Arial"/>
          <w:sz w:val="18"/>
          <w:szCs w:val="18"/>
          <w:color w:val="auto"/>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19.1 to this Annual Report on Form 10-K. It is also the policy of the Company to comply with all insider trading laws and regulations.</w:t>
      </w:r>
    </w:p>
    <w:p>
      <w:pPr>
        <w:spacing w:after="0" w:line="9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other information required by this item is incorporated by reference to our 2025 proxy statement.</w:t>
      </w:r>
    </w:p>
    <w:p>
      <w:pPr>
        <w:spacing w:after="0" w:line="15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ITEM 11.</w:t>
        <w:tab/>
        <w:t>EXECUTIVE COMPENSATION</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information required by this item is incorporated by reference to our 2025 proxy statement.</w:t>
      </w:r>
    </w:p>
    <w:p>
      <w:pPr>
        <w:spacing w:after="0" w:line="157" w:lineRule="exact"/>
        <w:rPr>
          <w:sz w:val="20"/>
          <w:szCs w:val="20"/>
          <w:color w:val="auto"/>
        </w:rPr>
      </w:pPr>
    </w:p>
    <w:p>
      <w:pPr>
        <w:ind w:right="800"/>
        <w:spacing w:after="0" w:line="280"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01" w:lineRule="exact"/>
        <w:rPr>
          <w:sz w:val="20"/>
          <w:szCs w:val="20"/>
          <w:color w:val="auto"/>
        </w:rPr>
      </w:pPr>
    </w:p>
    <w:p>
      <w:pPr>
        <w:ind w:right="60" w:firstLine="709"/>
        <w:spacing w:after="0" w:line="274" w:lineRule="auto"/>
        <w:rPr>
          <w:sz w:val="20"/>
          <w:szCs w:val="20"/>
          <w:color w:val="auto"/>
        </w:rPr>
      </w:pPr>
      <w:r>
        <w:rPr>
          <w:rFonts w:ascii="Arial" w:cs="Arial" w:eastAsia="Arial" w:hAnsi="Arial"/>
          <w:sz w:val="19"/>
          <w:szCs w:val="19"/>
          <w:color w:val="auto"/>
        </w:rPr>
        <w:t>In addition to the information about the security ownership of certain beneficial owners and management and related stockholder matters which is incorporated herein by reference to our 2025 definitive proxy statement, the following table includes information as of December 31, 2024 regarding shares of common stock authorized for issuance under the Company's equity compensation plan. The Company's shareholders approved the plan in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94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88"/>
              </w:rPr>
              <w:t>Number of securities to</w:t>
            </w:r>
          </w:p>
        </w:tc>
        <w:tc>
          <w:tcPr>
            <w:tcW w:w="1500" w:type="dxa"/>
            <w:vAlign w:val="bottom"/>
            <w:vMerge w:val="restart"/>
          </w:tcPr>
          <w:p>
            <w:pPr>
              <w:jc w:val="center"/>
              <w:ind w:right="77"/>
              <w:spacing w:after="0"/>
              <w:rPr>
                <w:sz w:val="20"/>
                <w:szCs w:val="20"/>
                <w:color w:val="auto"/>
              </w:rPr>
            </w:pPr>
            <w:r>
              <w:rPr>
                <w:rFonts w:ascii="Arial" w:cs="Arial" w:eastAsia="Arial" w:hAnsi="Arial"/>
                <w:sz w:val="16"/>
                <w:szCs w:val="16"/>
                <w:b w:val="1"/>
                <w:bCs w:val="1"/>
                <w:color w:val="auto"/>
                <w:w w:val="89"/>
              </w:rPr>
              <w:t>Weighted average</w:t>
            </w:r>
          </w:p>
        </w:tc>
        <w:tc>
          <w:tcPr>
            <w:tcW w:w="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7"/>
              </w:rPr>
              <w:t>Number of securities</w:t>
            </w: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1940" w:type="dxa"/>
            <w:vAlign w:val="bottom"/>
            <w:gridSpan w:val="3"/>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remaining available</w:t>
            </w: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1940" w:type="dxa"/>
            <w:vAlign w:val="bottom"/>
            <w:gridSpan w:val="3"/>
          </w:tcPr>
          <w:p>
            <w:pPr>
              <w:jc w:val="center"/>
              <w:ind w:right="240"/>
              <w:spacing w:after="0" w:line="158" w:lineRule="exact"/>
              <w:rPr>
                <w:sz w:val="20"/>
                <w:szCs w:val="20"/>
                <w:color w:val="auto"/>
              </w:rPr>
            </w:pPr>
            <w:r>
              <w:rPr>
                <w:rFonts w:ascii="Arial" w:cs="Arial" w:eastAsia="Arial" w:hAnsi="Arial"/>
                <w:sz w:val="16"/>
                <w:szCs w:val="16"/>
                <w:b w:val="1"/>
                <w:bCs w:val="1"/>
                <w:color w:val="auto"/>
                <w:w w:val="84"/>
              </w:rPr>
              <w:t>be issued upon exercise</w:t>
            </w:r>
          </w:p>
        </w:tc>
        <w:tc>
          <w:tcPr>
            <w:tcW w:w="1500" w:type="dxa"/>
            <w:vAlign w:val="bottom"/>
          </w:tcPr>
          <w:p>
            <w:pPr>
              <w:jc w:val="center"/>
              <w:ind w:right="77"/>
              <w:spacing w:after="0" w:line="158" w:lineRule="exact"/>
              <w:rPr>
                <w:sz w:val="20"/>
                <w:szCs w:val="20"/>
                <w:color w:val="auto"/>
              </w:rPr>
            </w:pPr>
            <w:r>
              <w:rPr>
                <w:rFonts w:ascii="Arial" w:cs="Arial" w:eastAsia="Arial" w:hAnsi="Arial"/>
                <w:sz w:val="16"/>
                <w:szCs w:val="16"/>
                <w:b w:val="1"/>
                <w:bCs w:val="1"/>
                <w:color w:val="auto"/>
                <w:w w:val="84"/>
              </w:rPr>
              <w:t>exercise</w:t>
            </w:r>
          </w:p>
        </w:tc>
        <w:tc>
          <w:tcPr>
            <w:tcW w:w="8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for future issuance</w:t>
            </w:r>
          </w:p>
        </w:tc>
        <w:tc>
          <w:tcPr>
            <w:tcW w:w="0" w:type="dxa"/>
            <w:vAlign w:val="bottom"/>
          </w:tcPr>
          <w:p>
            <w:pPr>
              <w:spacing w:after="0"/>
              <w:rPr>
                <w:sz w:val="1"/>
                <w:szCs w:val="1"/>
                <w:color w:val="auto"/>
              </w:rPr>
            </w:pPr>
          </w:p>
        </w:tc>
      </w:tr>
      <w:tr>
        <w:trPr>
          <w:trHeight w:val="158"/>
        </w:trPr>
        <w:tc>
          <w:tcPr>
            <w:tcW w:w="49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Plan Category</w:t>
            </w:r>
          </w:p>
        </w:tc>
        <w:tc>
          <w:tcPr>
            <w:tcW w:w="1940" w:type="dxa"/>
            <w:vAlign w:val="bottom"/>
            <w:gridSpan w:val="3"/>
          </w:tcPr>
          <w:p>
            <w:pPr>
              <w:jc w:val="center"/>
              <w:ind w:right="240"/>
              <w:spacing w:after="0" w:line="158" w:lineRule="exact"/>
              <w:rPr>
                <w:sz w:val="20"/>
                <w:szCs w:val="20"/>
                <w:color w:val="auto"/>
              </w:rPr>
            </w:pPr>
            <w:r>
              <w:rPr>
                <w:rFonts w:ascii="Arial" w:cs="Arial" w:eastAsia="Arial" w:hAnsi="Arial"/>
                <w:sz w:val="16"/>
                <w:szCs w:val="16"/>
                <w:b w:val="1"/>
                <w:bCs w:val="1"/>
                <w:color w:val="auto"/>
                <w:w w:val="86"/>
              </w:rPr>
              <w:t>of outstanding options</w:t>
            </w:r>
          </w:p>
        </w:tc>
        <w:tc>
          <w:tcPr>
            <w:tcW w:w="1500" w:type="dxa"/>
            <w:vAlign w:val="bottom"/>
          </w:tcPr>
          <w:p>
            <w:pPr>
              <w:jc w:val="center"/>
              <w:ind w:right="77"/>
              <w:spacing w:after="0" w:line="158" w:lineRule="exact"/>
              <w:rPr>
                <w:sz w:val="20"/>
                <w:szCs w:val="20"/>
                <w:color w:val="auto"/>
              </w:rPr>
            </w:pPr>
            <w:r>
              <w:rPr>
                <w:rFonts w:ascii="Arial" w:cs="Arial" w:eastAsia="Arial" w:hAnsi="Arial"/>
                <w:sz w:val="16"/>
                <w:szCs w:val="16"/>
                <w:b w:val="1"/>
                <w:bCs w:val="1"/>
                <w:color w:val="auto"/>
                <w:w w:val="87"/>
              </w:rPr>
              <w:t>price of outstanding</w:t>
            </w:r>
          </w:p>
        </w:tc>
        <w:tc>
          <w:tcPr>
            <w:tcW w:w="8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under equity</w:t>
            </w:r>
          </w:p>
        </w:tc>
        <w:tc>
          <w:tcPr>
            <w:tcW w:w="0" w:type="dxa"/>
            <w:vAlign w:val="bottom"/>
          </w:tcPr>
          <w:p>
            <w:pPr>
              <w:spacing w:after="0"/>
              <w:rPr>
                <w:sz w:val="1"/>
                <w:szCs w:val="1"/>
                <w:color w:val="auto"/>
              </w:rPr>
            </w:pPr>
          </w:p>
        </w:tc>
      </w:tr>
      <w:tr>
        <w:trPr>
          <w:trHeight w:val="211"/>
        </w:trPr>
        <w:tc>
          <w:tcPr>
            <w:tcW w:w="4920" w:type="dxa"/>
            <w:vAlign w:val="bottom"/>
            <w:tcBorders>
              <w:bottom w:val="single" w:sz="8" w:color="E6E6E6"/>
            </w:tcBorders>
            <w:vMerge w:val="continue"/>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and rights</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87"/>
              </w:rPr>
              <w:t>options and rights</w:t>
            </w:r>
          </w:p>
        </w:tc>
        <w:tc>
          <w:tcPr>
            <w:tcW w:w="80" w:type="dxa"/>
            <w:vAlign w:val="bottom"/>
            <w:tcBorders>
              <w:bottom w:val="single" w:sz="8" w:color="E6E6E6"/>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compensation plan</w:t>
            </w:r>
          </w:p>
        </w:tc>
        <w:tc>
          <w:tcPr>
            <w:tcW w:w="0" w:type="dxa"/>
            <w:vAlign w:val="bottom"/>
          </w:tcPr>
          <w:p>
            <w:pPr>
              <w:spacing w:after="0"/>
              <w:rPr>
                <w:sz w:val="1"/>
                <w:szCs w:val="1"/>
                <w:color w:val="auto"/>
              </w:rPr>
            </w:pPr>
          </w:p>
        </w:tc>
      </w:tr>
      <w:tr>
        <w:trPr>
          <w:trHeight w:val="286"/>
        </w:trPr>
        <w:tc>
          <w:tcPr>
            <w:tcW w:w="4920" w:type="dxa"/>
            <w:vAlign w:val="bottom"/>
            <w:shd w:val="clear" w:color="auto" w:fill="E6E6E6"/>
          </w:tcPr>
          <w:p>
            <w:pPr>
              <w:ind w:left="60"/>
              <w:spacing w:after="0" w:line="286" w:lineRule="exact"/>
              <w:rPr>
                <w:sz w:val="20"/>
                <w:szCs w:val="20"/>
                <w:color w:val="auto"/>
              </w:rPr>
            </w:pPr>
            <w:r>
              <w:rPr>
                <w:rFonts w:ascii="Arial" w:cs="Arial" w:eastAsia="Arial" w:hAnsi="Arial"/>
                <w:sz w:val="20"/>
                <w:szCs w:val="20"/>
                <w:color w:val="auto"/>
                <w:w w:val="92"/>
              </w:rPr>
              <w:t>Equity compensation plans approved by security holders</w:t>
            </w:r>
            <w:r>
              <w:rPr>
                <w:rFonts w:ascii="Arial" w:cs="Arial" w:eastAsia="Arial" w:hAnsi="Arial"/>
                <w:sz w:val="25"/>
                <w:szCs w:val="25"/>
                <w:color w:val="auto"/>
                <w:w w:val="92"/>
                <w:vertAlign w:val="superscript"/>
              </w:rPr>
              <w:t>(1)</w:t>
            </w:r>
          </w:p>
        </w:tc>
        <w:tc>
          <w:tcPr>
            <w:tcW w:w="1940" w:type="dxa"/>
            <w:vAlign w:val="bottom"/>
            <w:gridSpan w:val="3"/>
            <w:shd w:val="clear" w:color="auto" w:fill="E6E6E6"/>
          </w:tcPr>
          <w:p>
            <w:pPr>
              <w:ind w:left="1420"/>
              <w:spacing w:after="0"/>
              <w:rPr>
                <w:sz w:val="20"/>
                <w:szCs w:val="20"/>
                <w:color w:val="auto"/>
              </w:rPr>
            </w:pPr>
            <w:r>
              <w:rPr>
                <w:rFonts w:ascii="Arial" w:cs="Arial" w:eastAsia="Arial" w:hAnsi="Arial"/>
                <w:sz w:val="20"/>
                <w:szCs w:val="20"/>
                <w:color w:val="auto"/>
              </w:rPr>
              <w:t>—  $</w:t>
            </w:r>
          </w:p>
        </w:tc>
        <w:tc>
          <w:tcPr>
            <w:tcW w:w="1500" w:type="dxa"/>
            <w:vAlign w:val="bottom"/>
            <w:shd w:val="clear" w:color="auto" w:fill="E6E6E6"/>
          </w:tcPr>
          <w:p>
            <w:pPr>
              <w:ind w:left="1240"/>
              <w:spacing w:after="0"/>
              <w:rPr>
                <w:sz w:val="20"/>
                <w:szCs w:val="20"/>
                <w:color w:val="auto"/>
              </w:rPr>
            </w:pPr>
            <w:r>
              <w:rPr>
                <w:rFonts w:ascii="Arial" w:cs="Arial" w:eastAsia="Arial" w:hAnsi="Arial"/>
                <w:sz w:val="20"/>
                <w:szCs w:val="20"/>
                <w:color w:val="auto"/>
              </w:rPr>
              <w:t>—</w:t>
            </w:r>
          </w:p>
        </w:tc>
        <w:tc>
          <w:tcPr>
            <w:tcW w:w="17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1,699,209</w:t>
            </w:r>
          </w:p>
        </w:tc>
        <w:tc>
          <w:tcPr>
            <w:tcW w:w="0" w:type="dxa"/>
            <w:vAlign w:val="bottom"/>
          </w:tcPr>
          <w:p>
            <w:pPr>
              <w:spacing w:after="0"/>
              <w:rPr>
                <w:sz w:val="1"/>
                <w:szCs w:val="1"/>
                <w:color w:val="auto"/>
              </w:rPr>
            </w:pPr>
          </w:p>
        </w:tc>
      </w:tr>
      <w:tr>
        <w:trPr>
          <w:trHeight w:val="273"/>
        </w:trPr>
        <w:tc>
          <w:tcPr>
            <w:tcW w:w="4920" w:type="dxa"/>
            <w:vAlign w:val="bottom"/>
          </w:tcPr>
          <w:p>
            <w:pPr>
              <w:jc w:val="right"/>
              <w:ind w:right="148"/>
              <w:spacing w:after="0"/>
              <w:rPr>
                <w:sz w:val="20"/>
                <w:szCs w:val="20"/>
                <w:color w:val="auto"/>
              </w:rPr>
            </w:pPr>
            <w:r>
              <w:rPr>
                <w:rFonts w:ascii="Arial" w:cs="Arial" w:eastAsia="Arial" w:hAnsi="Arial"/>
                <w:sz w:val="20"/>
                <w:szCs w:val="20"/>
                <w:color w:val="auto"/>
                <w:w w:val="97"/>
              </w:rPr>
              <w:t>___________________________________________</w:t>
            </w:r>
          </w:p>
        </w:tc>
        <w:tc>
          <w:tcPr>
            <w:tcW w:w="1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720" w:right="180" w:hanging="358"/>
        <w:spacing w:after="0" w:line="28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the Company's 2020 Stock Incentive Plan under which there were no outstanding options but 1,214,644 shares were available for grant of stock options, stock appreciation rights, restricted stock, restricted stock units and certain other stock-based awards as of December 31, 2024. See Note 17, "Stock-based Compensation," to the Company's consolidated financial statements included in Item 8, "Financial Statements and Supplementary Data," in this report. Also includes the Company’s 2024 Employee Stock Purchase Plan under which there are no outstanding options but 484,565 shares available for issuance as of December 31, 2024.</w:t>
      </w:r>
    </w:p>
    <w:p>
      <w:pPr>
        <w:spacing w:after="0" w:line="8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information required by this item is incorporated by reference to our 2025 proxy statement.</w:t>
      </w:r>
    </w:p>
    <w:p>
      <w:pPr>
        <w:spacing w:after="0" w:line="15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independent registered public accounting firm is Deloitte &amp; Touche LLP, Boston, Massachusetts, Auditor Firm</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ID: 34.</w:t>
      </w:r>
    </w:p>
    <w:p>
      <w:pPr>
        <w:spacing w:after="0" w:line="16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information required by this item is incorporated by reference to our 2025 proxy statement.</w:t>
      </w:r>
    </w:p>
    <w:p>
      <w:pPr>
        <w:sectPr>
          <w:pgSz w:w="11880" w:h="15480" w:orient="portrait"/>
          <w:cols w:equalWidth="0" w:num="1">
            <w:col w:w="10080"/>
          </w:cols>
          <w:pgMar w:left="880" w:top="568" w:right="920"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ectPr>
          <w:pgSz w:w="11880" w:h="15480" w:orient="portrait"/>
          <w:cols w:equalWidth="0" w:num="1">
            <w:col w:w="10080"/>
          </w:cols>
          <w:pgMar w:left="880" w:top="568" w:right="920" w:bottom="0" w:gutter="0" w:footer="0" w:header="0"/>
          <w:type w:val="continuous"/>
        </w:sectPr>
      </w:pPr>
    </w:p>
    <w:bookmarkStart w:id="104" w:name="page105"/>
    <w:bookmarkEnd w:id="104"/>
    <w:p>
      <w:pPr>
        <w:ind w:left="4660"/>
        <w:spacing w:after="0"/>
        <w:rPr>
          <w:sz w:val="20"/>
          <w:szCs w:val="20"/>
          <w:color w:val="auto"/>
        </w:rPr>
      </w:pPr>
      <w:r>
        <w:rPr>
          <w:rFonts w:ascii="Arial" w:cs="Arial" w:eastAsia="Arial" w:hAnsi="Arial"/>
          <w:sz w:val="20"/>
          <w:szCs w:val="20"/>
          <w:b w:val="1"/>
          <w:bCs w:val="1"/>
          <w:color w:val="auto"/>
        </w:rPr>
        <w:t>PART IV</w:t>
      </w:r>
    </w:p>
    <w:p>
      <w:pPr>
        <w:spacing w:after="0" w:line="16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15.</w:t>
        <w:tab/>
        <w:t>EXHIBITS AND FINANCIAL STATEMENT SCHEDULES</w:t>
      </w:r>
    </w:p>
    <w:p>
      <w:pPr>
        <w:spacing w:after="0" w:line="16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i w:val="1"/>
          <w:iCs w:val="1"/>
          <w:color w:val="auto"/>
        </w:rPr>
        <w:t>(a)</w:t>
      </w:r>
      <w:r>
        <w:rPr>
          <w:sz w:val="20"/>
          <w:szCs w:val="20"/>
          <w:color w:val="auto"/>
        </w:rPr>
        <w:tab/>
      </w:r>
      <w:r>
        <w:rPr>
          <w:rFonts w:ascii="Arial" w:cs="Arial" w:eastAsia="Arial" w:hAnsi="Arial"/>
          <w:sz w:val="16"/>
          <w:szCs w:val="16"/>
          <w:b w:val="1"/>
          <w:bCs w:val="1"/>
          <w:i w:val="1"/>
          <w:iCs w:val="1"/>
          <w:color w:val="auto"/>
        </w:rPr>
        <w:t>Documents Filed as a Part of this Report</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Page</w:t>
            </w:r>
          </w:p>
        </w:tc>
      </w:tr>
      <w:tr>
        <w:trPr>
          <w:trHeight w:val="274"/>
        </w:trPr>
        <w:tc>
          <w:tcPr>
            <w:tcW w:w="340" w:type="dxa"/>
            <w:vAlign w:val="bottom"/>
          </w:tcPr>
          <w:p>
            <w:pPr>
              <w:jc w:val="right"/>
              <w:ind w:right="82"/>
              <w:spacing w:after="0"/>
              <w:rPr>
                <w:sz w:val="20"/>
                <w:szCs w:val="20"/>
                <w:color w:val="auto"/>
              </w:rPr>
            </w:pPr>
            <w:r>
              <w:rPr>
                <w:rFonts w:ascii="Arial" w:cs="Arial" w:eastAsia="Arial" w:hAnsi="Arial"/>
                <w:sz w:val="20"/>
                <w:szCs w:val="20"/>
                <w:color w:val="auto"/>
                <w:w w:val="83"/>
              </w:rPr>
              <w:t>1.</w:t>
            </w:r>
          </w:p>
        </w:tc>
        <w:tc>
          <w:tcPr>
            <w:tcW w:w="8840" w:type="dxa"/>
            <w:vAlign w:val="bottom"/>
          </w:tcPr>
          <w:p>
            <w:pPr>
              <w:ind w:left="200"/>
              <w:spacing w:after="0"/>
              <w:rPr>
                <w:sz w:val="20"/>
                <w:szCs w:val="20"/>
                <w:color w:val="auto"/>
              </w:rPr>
            </w:pPr>
            <w:r>
              <w:rPr>
                <w:rFonts w:ascii="Arial" w:cs="Arial" w:eastAsia="Arial" w:hAnsi="Arial"/>
                <w:sz w:val="20"/>
                <w:szCs w:val="20"/>
                <w:color w:val="auto"/>
              </w:rPr>
              <w:t>Financial Statements:</w:t>
            </w:r>
          </w:p>
        </w:tc>
        <w:tc>
          <w:tcPr>
            <w:tcW w:w="700" w:type="dxa"/>
            <w:vAlign w:val="bottom"/>
          </w:tcPr>
          <w:p>
            <w:pPr>
              <w:spacing w:after="0"/>
              <w:rPr>
                <w:sz w:val="23"/>
                <w:szCs w:val="23"/>
                <w:color w:val="auto"/>
              </w:rPr>
            </w:pPr>
          </w:p>
        </w:tc>
      </w:tr>
      <w:tr>
        <w:trPr>
          <w:trHeight w:val="428"/>
        </w:trPr>
        <w:tc>
          <w:tcPr>
            <w:tcW w:w="34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20"/>
                <w:szCs w:val="20"/>
                <w:color w:val="auto"/>
              </w:rPr>
              <w:t>Report of Independent Registered Public Accounting Firm</w:t>
            </w:r>
          </w:p>
        </w:tc>
        <w:tc>
          <w:tcPr>
            <w:tcW w:w="7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428"/>
        </w:trPr>
        <w:tc>
          <w:tcPr>
            <w:tcW w:w="34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20"/>
                <w:szCs w:val="20"/>
                <w:color w:val="auto"/>
              </w:rPr>
              <w:t>Consolidated Balance Sheets as of December 31, 2024 and 2023</w:t>
            </w:r>
          </w:p>
        </w:tc>
        <w:tc>
          <w:tcPr>
            <w:tcW w:w="7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428"/>
        </w:trPr>
        <w:tc>
          <w:tcPr>
            <w:tcW w:w="34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20"/>
                <w:szCs w:val="20"/>
                <w:color w:val="auto"/>
              </w:rPr>
              <w:t>Consolidated Statements of Operations for the Three Years Ended December 31, 2024</w:t>
            </w:r>
          </w:p>
        </w:tc>
        <w:tc>
          <w:tcPr>
            <w:tcW w:w="7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443"/>
        </w:trPr>
        <w:tc>
          <w:tcPr>
            <w:tcW w:w="34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20"/>
                <w:szCs w:val="20"/>
                <w:color w:val="auto"/>
                <w:w w:val="97"/>
              </w:rPr>
              <w:t>Consolidated Statements of Comprehensive Income for the Three Years Ended December 31, 2024</w:t>
            </w:r>
          </w:p>
        </w:tc>
        <w:tc>
          <w:tcPr>
            <w:tcW w:w="7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414"/>
        </w:trPr>
        <w:tc>
          <w:tcPr>
            <w:tcW w:w="34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20"/>
                <w:szCs w:val="20"/>
                <w:color w:val="auto"/>
              </w:rPr>
              <w:t>Consolidated Statements of Cash Flows for the Three Years Ended December 31, 2024</w:t>
            </w:r>
          </w:p>
        </w:tc>
        <w:tc>
          <w:tcPr>
            <w:tcW w:w="7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428"/>
        </w:trPr>
        <w:tc>
          <w:tcPr>
            <w:tcW w:w="34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20"/>
                <w:szCs w:val="20"/>
                <w:color w:val="auto"/>
              </w:rPr>
              <w:t>Consolidated Statements of Stockholders' Equity for the Three Years Ended December 31, 2024</w:t>
            </w:r>
          </w:p>
        </w:tc>
        <w:tc>
          <w:tcPr>
            <w:tcW w:w="7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28"/>
        </w:trPr>
        <w:tc>
          <w:tcPr>
            <w:tcW w:w="34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20"/>
                <w:szCs w:val="20"/>
                <w:color w:val="auto"/>
              </w:rPr>
              <w:t>Notes to Consolidated Financial Statements</w:t>
            </w:r>
          </w:p>
        </w:tc>
        <w:tc>
          <w:tcPr>
            <w:tcW w:w="700" w:type="dxa"/>
            <w:vAlign w:val="bottom"/>
          </w:tcPr>
          <w:p>
            <w:pPr>
              <w:jc w:val="right"/>
              <w:spacing w:after="0"/>
              <w:rPr>
                <w:sz w:val="20"/>
                <w:szCs w:val="20"/>
                <w:color w:val="auto"/>
              </w:rPr>
            </w:pPr>
            <w:r>
              <w:rPr>
                <w:rFonts w:ascii="Arial" w:cs="Arial" w:eastAsia="Arial" w:hAnsi="Arial"/>
                <w:sz w:val="20"/>
                <w:szCs w:val="20"/>
                <w:color w:val="auto"/>
              </w:rPr>
              <w:t>56</w:t>
            </w:r>
          </w:p>
        </w:tc>
      </w:tr>
    </w:tbl>
    <w:p>
      <w:pPr>
        <w:spacing w:after="0" w:line="206" w:lineRule="exact"/>
        <w:rPr>
          <w:sz w:val="20"/>
          <w:szCs w:val="20"/>
          <w:color w:val="auto"/>
        </w:rPr>
      </w:pPr>
    </w:p>
    <w:p>
      <w:pPr>
        <w:ind w:right="260" w:firstLine="709"/>
        <w:spacing w:after="0" w:line="276" w:lineRule="auto"/>
        <w:rPr>
          <w:sz w:val="20"/>
          <w:szCs w:val="20"/>
          <w:color w:val="auto"/>
        </w:rPr>
      </w:pPr>
      <w:r>
        <w:rPr>
          <w:rFonts w:ascii="Arial" w:cs="Arial" w:eastAsia="Arial" w:hAnsi="Arial"/>
          <w:sz w:val="20"/>
          <w:szCs w:val="20"/>
          <w:color w:val="auto"/>
        </w:rPr>
        <w:t>All other schedules are omitted because they are not applicable, not required, or because the required information is included in the financial statements or notes thereto.</w:t>
      </w:r>
    </w:p>
    <w:p>
      <w:pPr>
        <w:spacing w:after="0" w:line="189" w:lineRule="exact"/>
        <w:rPr>
          <w:sz w:val="20"/>
          <w:szCs w:val="20"/>
          <w:color w:val="auto"/>
        </w:rPr>
      </w:pPr>
    </w:p>
    <w:p>
      <w:pPr>
        <w:ind w:left="600" w:hanging="394"/>
        <w:spacing w:after="0"/>
        <w:tabs>
          <w:tab w:leader="none" w:pos="6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Exhibits:</w:t>
      </w:r>
    </w:p>
    <w:p>
      <w:pPr>
        <w:spacing w:after="0" w:line="235" w:lineRule="exact"/>
        <w:rPr>
          <w:sz w:val="20"/>
          <w:szCs w:val="20"/>
          <w:color w:val="auto"/>
        </w:rPr>
      </w:pPr>
    </w:p>
    <w:p>
      <w:pPr>
        <w:ind w:right="520" w:firstLine="709"/>
        <w:spacing w:after="0" w:line="333" w:lineRule="auto"/>
        <w:rPr>
          <w:sz w:val="20"/>
          <w:szCs w:val="20"/>
          <w:color w:val="auto"/>
        </w:rPr>
      </w:pPr>
      <w:r>
        <w:rPr>
          <w:rFonts w:ascii="Arial" w:cs="Arial" w:eastAsia="Arial" w:hAnsi="Arial"/>
          <w:sz w:val="18"/>
          <w:szCs w:val="18"/>
          <w:color w:val="auto"/>
        </w:rPr>
        <w:t>The list of exhibits filed as part of this annual report on Form 10-K is set forth on the Exhibit Index immediately following the signature page to this report, and such Exhibit Index is incorporated herein by reference.</w:t>
      </w:r>
    </w:p>
    <w:p>
      <w:pPr>
        <w:spacing w:after="0" w:line="56" w:lineRule="exact"/>
        <w:rPr>
          <w:sz w:val="20"/>
          <w:szCs w:val="20"/>
          <w:color w:val="auto"/>
        </w:rPr>
      </w:pPr>
    </w:p>
    <w:p>
      <w:pPr>
        <w:ind w:right="100" w:firstLine="709"/>
        <w:spacing w:after="0" w:line="293" w:lineRule="auto"/>
        <w:rPr>
          <w:sz w:val="20"/>
          <w:szCs w:val="20"/>
          <w:color w:val="auto"/>
        </w:rPr>
      </w:pPr>
      <w:r>
        <w:rPr>
          <w:rFonts w:ascii="Arial" w:cs="Arial" w:eastAsia="Arial" w:hAnsi="Arial"/>
          <w:sz w:val="18"/>
          <w:szCs w:val="18"/>
          <w:color w:val="auto"/>
        </w:rPr>
        <w:t>Exhibits to this annual report on Form 10-K have been included only with the copies of the Form 10-K filed with the Securities and Exchange Commission. Upon request to the Company and payment of a reasonable fee, copies of the individual exhibits will be furnished. The Company undertakes to furnish to the Commission upon request copies of instruments (in addition to the exhibits listed below) relating to the Company's acquisitions and long-term debt.</w:t>
      </w:r>
    </w:p>
    <w:p>
      <w:pPr>
        <w:spacing w:after="0" w:line="86"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9"/>
          <w:szCs w:val="19"/>
          <w:b w:val="1"/>
          <w:bCs w:val="1"/>
          <w:color w:val="auto"/>
        </w:rPr>
        <w:t>FORM 10-K SUMMARY</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080"/>
          </w:cols>
          <w:pgMar w:left="880" w:top="56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ectPr>
          <w:pgSz w:w="11880" w:h="15480" w:orient="portrait"/>
          <w:cols w:equalWidth="0" w:num="1">
            <w:col w:w="10080"/>
          </w:cols>
          <w:pgMar w:left="880" w:top="568" w:right="920" w:bottom="0" w:gutter="0" w:footer="0" w:header="0"/>
          <w:type w:val="continuous"/>
        </w:sectPr>
      </w:pPr>
    </w:p>
    <w:bookmarkStart w:id="105" w:name="page106"/>
    <w:bookmarkEnd w:id="105"/>
    <w:p>
      <w:pPr>
        <w:jc w:val="center"/>
        <w:ind w:right="-29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ind w:right="80" w:firstLine="709"/>
        <w:spacing w:after="0" w:line="35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10-K to be signed on its behalf by the undersigned, thereunto duly authorized on February 19, 2025.</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CLEAN HARBORS, INC.</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260"/>
        </w:trPr>
        <w:tc>
          <w:tcPr>
            <w:tcW w:w="380" w:type="dxa"/>
            <w:vAlign w:val="bottom"/>
          </w:tcPr>
          <w:p>
            <w:pPr>
              <w:spacing w:after="0"/>
              <w:rPr>
                <w:sz w:val="20"/>
                <w:szCs w:val="20"/>
                <w:color w:val="auto"/>
              </w:rPr>
            </w:pPr>
            <w:r>
              <w:rPr>
                <w:rFonts w:ascii="Arial" w:cs="Arial" w:eastAsia="Arial" w:hAnsi="Arial"/>
                <w:sz w:val="20"/>
                <w:szCs w:val="20"/>
                <w:color w:val="auto"/>
              </w:rPr>
              <w:t>By:</w:t>
            </w:r>
          </w:p>
        </w:tc>
        <w:tc>
          <w:tcPr>
            <w:tcW w:w="4120" w:type="dxa"/>
            <w:vAlign w:val="bottom"/>
            <w:tcBorders>
              <w:bottom w:val="single" w:sz="8" w:color="auto"/>
            </w:tcBorders>
          </w:tcPr>
          <w:p>
            <w:pPr>
              <w:ind w:left="480"/>
              <w:spacing w:after="0"/>
              <w:rPr>
                <w:sz w:val="20"/>
                <w:szCs w:val="20"/>
                <w:color w:val="auto"/>
              </w:rPr>
            </w:pPr>
            <w:r>
              <w:rPr>
                <w:rFonts w:ascii="Arial" w:cs="Arial" w:eastAsia="Arial" w:hAnsi="Arial"/>
                <w:sz w:val="20"/>
                <w:szCs w:val="20"/>
                <w:color w:val="auto"/>
              </w:rPr>
              <w:t>/s/ MICHAEL L. BATTLES</w:t>
            </w:r>
          </w:p>
        </w:tc>
        <w:tc>
          <w:tcPr>
            <w:tcW w:w="680" w:type="dxa"/>
            <w:vAlign w:val="bottom"/>
          </w:tcPr>
          <w:p>
            <w:pPr>
              <w:ind w:left="300"/>
              <w:spacing w:after="0"/>
              <w:rPr>
                <w:sz w:val="20"/>
                <w:szCs w:val="20"/>
                <w:color w:val="auto"/>
              </w:rPr>
            </w:pPr>
            <w:r>
              <w:rPr>
                <w:rFonts w:ascii="Arial" w:cs="Arial" w:eastAsia="Arial" w:hAnsi="Arial"/>
                <w:sz w:val="20"/>
                <w:szCs w:val="20"/>
                <w:color w:val="auto"/>
              </w:rPr>
              <w:t>By:</w:t>
            </w:r>
          </w:p>
        </w:tc>
        <w:tc>
          <w:tcPr>
            <w:tcW w:w="4140" w:type="dxa"/>
            <w:vAlign w:val="bottom"/>
            <w:tcBorders>
              <w:bottom w:val="single" w:sz="8" w:color="auto"/>
            </w:tcBorders>
          </w:tcPr>
          <w:p>
            <w:pPr>
              <w:ind w:left="480"/>
              <w:spacing w:after="0"/>
              <w:rPr>
                <w:sz w:val="20"/>
                <w:szCs w:val="20"/>
                <w:color w:val="auto"/>
              </w:rPr>
            </w:pPr>
            <w:r>
              <w:rPr>
                <w:rFonts w:ascii="Arial" w:cs="Arial" w:eastAsia="Arial" w:hAnsi="Arial"/>
                <w:sz w:val="20"/>
                <w:szCs w:val="20"/>
                <w:color w:val="auto"/>
              </w:rPr>
              <w:t>/s/ ERIC W. GERSTENBERG</w:t>
            </w:r>
          </w:p>
        </w:tc>
      </w:tr>
      <w:tr>
        <w:trPr>
          <w:trHeight w:val="179"/>
        </w:trPr>
        <w:tc>
          <w:tcPr>
            <w:tcW w:w="380" w:type="dxa"/>
            <w:vAlign w:val="bottom"/>
          </w:tcPr>
          <w:p>
            <w:pPr>
              <w:spacing w:after="0"/>
              <w:rPr>
                <w:sz w:val="15"/>
                <w:szCs w:val="15"/>
                <w:color w:val="auto"/>
              </w:rPr>
            </w:pPr>
          </w:p>
        </w:tc>
        <w:tc>
          <w:tcPr>
            <w:tcW w:w="4120" w:type="dxa"/>
            <w:vAlign w:val="bottom"/>
          </w:tcPr>
          <w:p>
            <w:pPr>
              <w:ind w:left="480"/>
              <w:spacing w:after="0" w:line="179" w:lineRule="exact"/>
              <w:rPr>
                <w:sz w:val="20"/>
                <w:szCs w:val="20"/>
                <w:color w:val="auto"/>
              </w:rPr>
            </w:pPr>
            <w:r>
              <w:rPr>
                <w:rFonts w:ascii="Arial" w:cs="Arial" w:eastAsia="Arial" w:hAnsi="Arial"/>
                <w:sz w:val="20"/>
                <w:szCs w:val="20"/>
                <w:color w:val="auto"/>
              </w:rPr>
              <w:t>Michael L. Battles</w:t>
            </w:r>
          </w:p>
        </w:tc>
        <w:tc>
          <w:tcPr>
            <w:tcW w:w="680" w:type="dxa"/>
            <w:vAlign w:val="bottom"/>
          </w:tcPr>
          <w:p>
            <w:pPr>
              <w:spacing w:after="0"/>
              <w:rPr>
                <w:sz w:val="15"/>
                <w:szCs w:val="15"/>
                <w:color w:val="auto"/>
              </w:rPr>
            </w:pPr>
          </w:p>
        </w:tc>
        <w:tc>
          <w:tcPr>
            <w:tcW w:w="4140" w:type="dxa"/>
            <w:vAlign w:val="bottom"/>
          </w:tcPr>
          <w:p>
            <w:pPr>
              <w:ind w:left="480"/>
              <w:spacing w:after="0" w:line="179" w:lineRule="exact"/>
              <w:rPr>
                <w:sz w:val="20"/>
                <w:szCs w:val="20"/>
                <w:color w:val="auto"/>
              </w:rPr>
            </w:pPr>
            <w:r>
              <w:rPr>
                <w:rFonts w:ascii="Arial" w:cs="Arial" w:eastAsia="Arial" w:hAnsi="Arial"/>
                <w:sz w:val="20"/>
                <w:szCs w:val="20"/>
                <w:color w:val="auto"/>
              </w:rPr>
              <w:t>Eric W. Gerstenberg</w:t>
            </w:r>
          </w:p>
        </w:tc>
      </w:tr>
      <w:tr>
        <w:trPr>
          <w:trHeight w:val="262"/>
        </w:trPr>
        <w:tc>
          <w:tcPr>
            <w:tcW w:w="380" w:type="dxa"/>
            <w:vAlign w:val="bottom"/>
          </w:tcPr>
          <w:p>
            <w:pPr>
              <w:spacing w:after="0"/>
              <w:rPr>
                <w:sz w:val="22"/>
                <w:szCs w:val="22"/>
                <w:color w:val="auto"/>
              </w:rPr>
            </w:pPr>
          </w:p>
        </w:tc>
        <w:tc>
          <w:tcPr>
            <w:tcW w:w="4120" w:type="dxa"/>
            <w:vAlign w:val="bottom"/>
          </w:tcPr>
          <w:p>
            <w:pPr>
              <w:ind w:left="480"/>
              <w:spacing w:after="0"/>
              <w:rPr>
                <w:sz w:val="20"/>
                <w:szCs w:val="20"/>
                <w:color w:val="auto"/>
              </w:rPr>
            </w:pPr>
            <w:r>
              <w:rPr>
                <w:rFonts w:ascii="Arial" w:cs="Arial" w:eastAsia="Arial" w:hAnsi="Arial"/>
                <w:sz w:val="20"/>
                <w:szCs w:val="20"/>
                <w:b w:val="1"/>
                <w:bCs w:val="1"/>
                <w:i w:val="1"/>
                <w:iCs w:val="1"/>
                <w:color w:val="auto"/>
                <w:w w:val="85"/>
              </w:rPr>
              <w:t>Co-Chief Executive Officer and Co-President</w:t>
            </w:r>
          </w:p>
        </w:tc>
        <w:tc>
          <w:tcPr>
            <w:tcW w:w="680" w:type="dxa"/>
            <w:vAlign w:val="bottom"/>
          </w:tcPr>
          <w:p>
            <w:pPr>
              <w:spacing w:after="0"/>
              <w:rPr>
                <w:sz w:val="22"/>
                <w:szCs w:val="22"/>
                <w:color w:val="auto"/>
              </w:rPr>
            </w:pPr>
          </w:p>
        </w:tc>
        <w:tc>
          <w:tcPr>
            <w:tcW w:w="4140" w:type="dxa"/>
            <w:vAlign w:val="bottom"/>
          </w:tcPr>
          <w:p>
            <w:pPr>
              <w:ind w:left="480"/>
              <w:spacing w:after="0"/>
              <w:rPr>
                <w:sz w:val="20"/>
                <w:szCs w:val="20"/>
                <w:color w:val="auto"/>
              </w:rPr>
            </w:pPr>
            <w:r>
              <w:rPr>
                <w:rFonts w:ascii="Arial" w:cs="Arial" w:eastAsia="Arial" w:hAnsi="Arial"/>
                <w:sz w:val="20"/>
                <w:szCs w:val="20"/>
                <w:b w:val="1"/>
                <w:bCs w:val="1"/>
                <w:i w:val="1"/>
                <w:iCs w:val="1"/>
                <w:color w:val="auto"/>
                <w:w w:val="85"/>
              </w:rPr>
              <w:t>Co-Chief Executive Officer and Co-President</w:t>
            </w:r>
          </w:p>
        </w:tc>
      </w:tr>
    </w:tbl>
    <w:p>
      <w:pPr>
        <w:spacing w:after="0" w:line="202" w:lineRule="exact"/>
        <w:rPr>
          <w:sz w:val="20"/>
          <w:szCs w:val="20"/>
          <w:color w:val="auto"/>
        </w:rPr>
      </w:pPr>
    </w:p>
    <w:p>
      <w:pPr>
        <w:ind w:right="20" w:firstLine="709"/>
        <w:spacing w:after="0" w:line="276" w:lineRule="auto"/>
        <w:rPr>
          <w:sz w:val="20"/>
          <w:szCs w:val="20"/>
          <w:color w:val="auto"/>
        </w:rPr>
      </w:pPr>
      <w:r>
        <w:rPr>
          <w:rFonts w:ascii="Arial" w:cs="Arial" w:eastAsia="Arial" w:hAnsi="Arial"/>
          <w:sz w:val="20"/>
          <w:szCs w:val="20"/>
          <w:color w:val="auto"/>
        </w:rPr>
        <w:t>Pursuant to the requirements of the Securities Exchange Act of 1934, this Form 10-K has been signed below by the following persons on behalf of the registrant and in the capacities and on the dates indicated.</w:t>
      </w:r>
    </w:p>
    <w:p>
      <w:pPr>
        <w:spacing w:after="0" w:line="115" w:lineRule="exact"/>
        <w:rPr>
          <w:sz w:val="20"/>
          <w:szCs w:val="20"/>
          <w:color w:val="auto"/>
        </w:rPr>
      </w:pPr>
    </w:p>
    <w:p>
      <w:pPr>
        <w:ind w:left="1320"/>
        <w:spacing w:after="0"/>
        <w:tabs>
          <w:tab w:leader="none" w:pos="5460" w:val="left"/>
          <w:tab w:leader="none" w:pos="9100" w:val="left"/>
        </w:tabs>
        <w:rPr>
          <w:sz w:val="20"/>
          <w:szCs w:val="20"/>
          <w:color w:val="auto"/>
        </w:rPr>
      </w:pPr>
      <w:r>
        <w:rPr>
          <w:rFonts w:ascii="Arial" w:cs="Arial" w:eastAsia="Arial" w:hAnsi="Arial"/>
          <w:sz w:val="16"/>
          <w:szCs w:val="16"/>
          <w:b w:val="1"/>
          <w:bCs w:val="1"/>
          <w:u w:val="single" w:color="auto"/>
          <w:color w:val="auto"/>
        </w:rPr>
        <w:t>Signature</w:t>
      </w:r>
      <w:r>
        <w:rPr>
          <w:sz w:val="20"/>
          <w:szCs w:val="20"/>
          <w:color w:val="auto"/>
        </w:rPr>
        <w:tab/>
      </w:r>
      <w:r>
        <w:rPr>
          <w:rFonts w:ascii="Arial" w:cs="Arial" w:eastAsia="Arial" w:hAnsi="Arial"/>
          <w:sz w:val="16"/>
          <w:szCs w:val="16"/>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36"/>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L. BATTLES</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 Co-Chief Executive Officer and Co-President</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57"/>
        </w:trPr>
        <w:tc>
          <w:tcPr>
            <w:tcW w:w="2300" w:type="dxa"/>
            <w:vAlign w:val="bottom"/>
          </w:tcPr>
          <w:p>
            <w:pPr>
              <w:jc w:val="center"/>
              <w:spacing w:after="0"/>
              <w:rPr>
                <w:sz w:val="20"/>
                <w:szCs w:val="20"/>
                <w:color w:val="auto"/>
              </w:rPr>
            </w:pPr>
            <w:r>
              <w:rPr>
                <w:rFonts w:ascii="Arial" w:cs="Arial" w:eastAsia="Arial" w:hAnsi="Arial"/>
                <w:sz w:val="18"/>
                <w:szCs w:val="18"/>
                <w:color w:val="auto"/>
                <w:w w:val="91"/>
              </w:rPr>
              <w:t>Michael L. Battles</w:t>
            </w:r>
          </w:p>
        </w:tc>
        <w:tc>
          <w:tcPr>
            <w:tcW w:w="510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(Principal Executive Officer)</w:t>
            </w:r>
          </w:p>
        </w:tc>
        <w:tc>
          <w:tcPr>
            <w:tcW w:w="1920" w:type="dxa"/>
            <w:vAlign w:val="bottom"/>
          </w:tcPr>
          <w:p>
            <w:pPr>
              <w:spacing w:after="0"/>
              <w:rPr>
                <w:sz w:val="22"/>
                <w:szCs w:val="22"/>
                <w:color w:val="auto"/>
              </w:rPr>
            </w:pPr>
          </w:p>
        </w:tc>
      </w:tr>
      <w:tr>
        <w:trPr>
          <w:trHeight w:val="403"/>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ERIC W. GERSTENBERG</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 Co-Chief Executive Officer and Co-President</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89"/>
              </w:rPr>
              <w:t>Eric W. Gerstenberg</w:t>
            </w:r>
          </w:p>
        </w:tc>
        <w:tc>
          <w:tcPr>
            <w:tcW w:w="510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(Principal Executive Officer)</w:t>
            </w:r>
          </w:p>
        </w:tc>
        <w:tc>
          <w:tcPr>
            <w:tcW w:w="1920" w:type="dxa"/>
            <w:vAlign w:val="bottom"/>
          </w:tcPr>
          <w:p>
            <w:pPr>
              <w:spacing w:after="0"/>
              <w:rPr>
                <w:sz w:val="23"/>
                <w:szCs w:val="23"/>
                <w:color w:val="auto"/>
              </w:rPr>
            </w:pPr>
          </w:p>
        </w:tc>
      </w:tr>
      <w:tr>
        <w:trPr>
          <w:trHeight w:val="402"/>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ERIC J. DUGAS</w:t>
            </w:r>
          </w:p>
        </w:tc>
        <w:tc>
          <w:tcPr>
            <w:tcW w:w="510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87"/>
              </w:rPr>
              <w:t>Eric J. Dugas</w:t>
            </w:r>
          </w:p>
        </w:tc>
        <w:tc>
          <w:tcPr>
            <w:tcW w:w="510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(Principal Financial and Accounting Officer)</w:t>
            </w: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100" w:type="dxa"/>
            <w:vAlign w:val="bottom"/>
          </w:tcPr>
          <w:p>
            <w:pPr>
              <w:ind w:left="160"/>
              <w:spacing w:after="0"/>
              <w:rPr>
                <w:sz w:val="20"/>
                <w:szCs w:val="20"/>
                <w:color w:val="auto"/>
              </w:rPr>
            </w:pPr>
            <w:r>
              <w:rPr>
                <w:rFonts w:ascii="Arial" w:cs="Arial" w:eastAsia="Arial" w:hAnsi="Arial"/>
                <w:sz w:val="18"/>
                <w:szCs w:val="18"/>
                <w:color w:val="auto"/>
              </w:rPr>
              <w:t>Founder, Executive Chairman and Chief Technology Officer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96"/>
              </w:rPr>
              <w:t>Alan S. McKim</w:t>
            </w:r>
          </w:p>
        </w:tc>
        <w:tc>
          <w:tcPr>
            <w:tcW w:w="51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88"/>
              </w:rPr>
              <w:t>Edward G. Galante</w:t>
            </w:r>
          </w:p>
        </w:tc>
        <w:tc>
          <w:tcPr>
            <w:tcW w:w="51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92"/>
              </w:rPr>
              <w:t>Karyn Polito</w:t>
            </w:r>
          </w:p>
        </w:tc>
        <w:tc>
          <w:tcPr>
            <w:tcW w:w="51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402"/>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86"/>
              </w:rPr>
              <w:t>John T. Preston</w:t>
            </w:r>
          </w:p>
        </w:tc>
        <w:tc>
          <w:tcPr>
            <w:tcW w:w="51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96"/>
              </w:rPr>
              <w:t>Alison Quirk</w:t>
            </w:r>
          </w:p>
        </w:tc>
        <w:tc>
          <w:tcPr>
            <w:tcW w:w="51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90"/>
              </w:rPr>
              <w:t>Marcy L. Reed</w:t>
            </w:r>
          </w:p>
        </w:tc>
        <w:tc>
          <w:tcPr>
            <w:tcW w:w="51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88"/>
              </w:rPr>
              <w:t>Andrea Robertson</w:t>
            </w:r>
          </w:p>
        </w:tc>
        <w:tc>
          <w:tcPr>
            <w:tcW w:w="51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87"/>
              </w:rPr>
              <w:t>Lauren C. States</w:t>
            </w:r>
          </w:p>
        </w:tc>
        <w:tc>
          <w:tcPr>
            <w:tcW w:w="51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402"/>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88"/>
              </w:rPr>
              <w:t>Shelley Stewart, Jr.</w:t>
            </w:r>
          </w:p>
        </w:tc>
        <w:tc>
          <w:tcPr>
            <w:tcW w:w="51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2"/>
        </w:trPr>
        <w:tc>
          <w:tcPr>
            <w:tcW w:w="2300" w:type="dxa"/>
            <w:vAlign w:val="bottom"/>
          </w:tcPr>
          <w:p>
            <w:pPr>
              <w:jc w:val="center"/>
              <w:spacing w:after="0"/>
              <w:rPr>
                <w:sz w:val="20"/>
                <w:szCs w:val="20"/>
                <w:color w:val="auto"/>
              </w:rPr>
            </w:pPr>
            <w:r>
              <w:rPr>
                <w:rFonts w:ascii="Arial" w:cs="Arial" w:eastAsia="Arial" w:hAnsi="Arial"/>
                <w:sz w:val="18"/>
                <w:szCs w:val="18"/>
                <w:color w:val="auto"/>
                <w:w w:val="90"/>
              </w:rPr>
              <w:t>John R. Welch</w:t>
            </w:r>
          </w:p>
        </w:tc>
        <w:tc>
          <w:tcPr>
            <w:tcW w:w="51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5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1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620"/>
              <w:spacing w:after="0"/>
              <w:rPr>
                <w:sz w:val="20"/>
                <w:szCs w:val="20"/>
                <w:color w:val="auto"/>
              </w:rPr>
            </w:pPr>
            <w:r>
              <w:rPr>
                <w:rFonts w:ascii="Arial" w:cs="Arial" w:eastAsia="Arial" w:hAnsi="Arial"/>
                <w:sz w:val="18"/>
                <w:szCs w:val="18"/>
                <w:color w:val="auto"/>
                <w:w w:val="86"/>
              </w:rPr>
              <w:t>February 19, 2025</w:t>
            </w:r>
          </w:p>
        </w:tc>
      </w:tr>
      <w:tr>
        <w:trPr>
          <w:trHeight w:val="273"/>
        </w:trPr>
        <w:tc>
          <w:tcPr>
            <w:tcW w:w="2300" w:type="dxa"/>
            <w:vAlign w:val="bottom"/>
          </w:tcPr>
          <w:p>
            <w:pPr>
              <w:jc w:val="center"/>
              <w:spacing w:after="0"/>
              <w:rPr>
                <w:sz w:val="20"/>
                <w:szCs w:val="20"/>
                <w:color w:val="auto"/>
              </w:rPr>
            </w:pPr>
            <w:r>
              <w:rPr>
                <w:rFonts w:ascii="Arial" w:cs="Arial" w:eastAsia="Arial" w:hAnsi="Arial"/>
                <w:sz w:val="18"/>
                <w:szCs w:val="18"/>
                <w:color w:val="auto"/>
                <w:w w:val="94"/>
              </w:rPr>
              <w:t>Robert Willett</w:t>
            </w:r>
          </w:p>
        </w:tc>
        <w:tc>
          <w:tcPr>
            <w:tcW w:w="5100" w:type="dxa"/>
            <w:vAlign w:val="bottom"/>
          </w:tcPr>
          <w:p>
            <w:pPr>
              <w:spacing w:after="0"/>
              <w:rPr>
                <w:sz w:val="23"/>
                <w:szCs w:val="23"/>
                <w:color w:val="auto"/>
              </w:rPr>
            </w:pPr>
          </w:p>
        </w:tc>
        <w:tc>
          <w:tcPr>
            <w:tcW w:w="1920" w:type="dxa"/>
            <w:vAlign w:val="bottom"/>
          </w:tcPr>
          <w:p>
            <w:pPr>
              <w:spacing w:after="0"/>
              <w:rPr>
                <w:sz w:val="23"/>
                <w:szCs w:val="23"/>
                <w:color w:val="auto"/>
              </w:rPr>
            </w:pPr>
          </w:p>
        </w:tc>
      </w:tr>
    </w:tbl>
    <w:p>
      <w:pPr>
        <w:spacing w:after="0" w:line="265" w:lineRule="exact"/>
        <w:rPr>
          <w:sz w:val="20"/>
          <w:szCs w:val="20"/>
          <w:color w:val="auto"/>
        </w:rPr>
      </w:pPr>
    </w:p>
    <w:tbl>
      <w:tblPr>
        <w:tblLayout w:type="fixed"/>
        <w:tblInd w:w="500" w:type="dxa"/>
        <w:tblCellMar>
          <w:top w:w="0" w:type="dxa"/>
          <w:left w:w="0" w:type="dxa"/>
          <w:bottom w:w="0" w:type="dxa"/>
          <w:right w:w="0" w:type="dxa"/>
        </w:tblCellMar>
      </w:tblPr>
      <w:tr>
        <w:trPr>
          <w:trHeight w:val="274"/>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L. BATTLES</w:t>
            </w:r>
          </w:p>
        </w:tc>
        <w:tc>
          <w:tcPr>
            <w:tcW w:w="1120" w:type="dxa"/>
            <w:vAlign w:val="bottom"/>
          </w:tcPr>
          <w:p>
            <w:pPr>
              <w:ind w:left="42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ERIC W. GERSTENBERG</w:t>
            </w:r>
          </w:p>
        </w:tc>
      </w:tr>
      <w:tr>
        <w:trPr>
          <w:trHeight w:val="203"/>
        </w:trPr>
        <w:tc>
          <w:tcPr>
            <w:tcW w:w="700" w:type="dxa"/>
            <w:vAlign w:val="bottom"/>
          </w:tcPr>
          <w:p>
            <w:pPr>
              <w:spacing w:after="0"/>
              <w:rPr>
                <w:sz w:val="17"/>
                <w:szCs w:val="17"/>
                <w:color w:val="auto"/>
              </w:rPr>
            </w:pPr>
          </w:p>
        </w:tc>
        <w:tc>
          <w:tcPr>
            <w:tcW w:w="3360" w:type="dxa"/>
            <w:vAlign w:val="bottom"/>
          </w:tcPr>
          <w:p>
            <w:pPr>
              <w:jc w:val="center"/>
              <w:spacing w:after="0" w:line="203" w:lineRule="exact"/>
              <w:rPr>
                <w:sz w:val="20"/>
                <w:szCs w:val="20"/>
                <w:color w:val="auto"/>
              </w:rPr>
            </w:pPr>
            <w:r>
              <w:rPr>
                <w:rFonts w:ascii="Arial" w:cs="Arial" w:eastAsia="Arial" w:hAnsi="Arial"/>
                <w:sz w:val="18"/>
                <w:szCs w:val="18"/>
                <w:color w:val="auto"/>
                <w:w w:val="92"/>
              </w:rPr>
              <w:t>Michael L. Battles</w:t>
            </w:r>
          </w:p>
        </w:tc>
        <w:tc>
          <w:tcPr>
            <w:tcW w:w="1120" w:type="dxa"/>
            <w:vAlign w:val="bottom"/>
          </w:tcPr>
          <w:p>
            <w:pPr>
              <w:spacing w:after="0"/>
              <w:rPr>
                <w:sz w:val="17"/>
                <w:szCs w:val="17"/>
                <w:color w:val="auto"/>
              </w:rPr>
            </w:pPr>
          </w:p>
        </w:tc>
        <w:tc>
          <w:tcPr>
            <w:tcW w:w="3360" w:type="dxa"/>
            <w:vAlign w:val="bottom"/>
          </w:tcPr>
          <w:p>
            <w:pPr>
              <w:jc w:val="center"/>
              <w:spacing w:after="0" w:line="203" w:lineRule="exact"/>
              <w:rPr>
                <w:sz w:val="20"/>
                <w:szCs w:val="20"/>
                <w:color w:val="auto"/>
              </w:rPr>
            </w:pPr>
            <w:r>
              <w:rPr>
                <w:rFonts w:ascii="Arial" w:cs="Arial" w:eastAsia="Arial" w:hAnsi="Arial"/>
                <w:sz w:val="18"/>
                <w:szCs w:val="18"/>
                <w:color w:val="auto"/>
                <w:w w:val="89"/>
              </w:rPr>
              <w:t>Eric W. Gerstenberg</w:t>
            </w:r>
          </w:p>
        </w:tc>
      </w:tr>
      <w:tr>
        <w:trPr>
          <w:trHeight w:val="235"/>
        </w:trPr>
        <w:tc>
          <w:tcPr>
            <w:tcW w:w="70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Attorney-in-Fact</w:t>
            </w:r>
          </w:p>
        </w:tc>
        <w:tc>
          <w:tcPr>
            <w:tcW w:w="112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Attorney-in-Fact</w:t>
            </w:r>
          </w:p>
        </w:tc>
      </w:tr>
    </w:tbl>
    <w:p>
      <w:pPr>
        <w:spacing w:after="0" w:line="200" w:lineRule="exact"/>
        <w:rPr>
          <w:sz w:val="20"/>
          <w:szCs w:val="20"/>
          <w:color w:val="auto"/>
        </w:rPr>
      </w:pPr>
    </w:p>
    <w:p>
      <w:pPr>
        <w:sectPr>
          <w:pgSz w:w="11880" w:h="15480" w:orient="portrait"/>
          <w:cols w:equalWidth="0" w:num="1">
            <w:col w:w="9820"/>
          </w:cols>
          <w:pgMar w:left="880" w:top="56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98</w:t>
      </w:r>
    </w:p>
    <w:p>
      <w:pPr>
        <w:sectPr>
          <w:pgSz w:w="11880" w:h="15480" w:orient="portrait"/>
          <w:cols w:equalWidth="0" w:num="1">
            <w:col w:w="9820"/>
          </w:cols>
          <w:pgMar w:left="880" w:top="568" w:right="1180" w:bottom="0" w:gutter="0" w:footer="0" w:header="0"/>
          <w:type w:val="continuous"/>
        </w:sectPr>
      </w:pPr>
    </w:p>
    <w:bookmarkStart w:id="106" w:name="page107"/>
    <w:bookmarkEnd w:id="106"/>
    <w:p>
      <w:pPr>
        <w:spacing w:after="0" w:line="230" w:lineRule="auto"/>
        <w:framePr w:w="440" w:h="198" w:wrap="auto" w:vAnchor="page" w:hAnchor="page" w:x="1440" w:y="13521"/>
        <w:rPr>
          <w:rFonts w:ascii="Arial" w:cs="Arial" w:eastAsia="Arial" w:hAnsi="Arial"/>
          <w:sz w:val="18"/>
          <w:szCs w:val="18"/>
          <w:color w:val="auto"/>
        </w:rPr>
      </w:pPr>
      <w:r>
        <w:rPr>
          <w:rFonts w:ascii="Arial" w:cs="Arial" w:eastAsia="Arial" w:hAnsi="Arial"/>
          <w:sz w:val="18"/>
          <w:szCs w:val="18"/>
          <w:color w:val="auto"/>
        </w:rPr>
        <w:t>10.9</w:t>
      </w:r>
    </w:p>
    <w:p>
      <w:pPr>
        <w:spacing w:after="0" w:line="230" w:lineRule="auto"/>
        <w:framePr w:w="440" w:h="198" w:wrap="auto" w:vAnchor="page" w:hAnchor="page" w:x="1440" w:y="12265"/>
        <w:rPr>
          <w:rFonts w:ascii="Arial" w:cs="Arial" w:eastAsia="Arial" w:hAnsi="Arial"/>
          <w:sz w:val="18"/>
          <w:szCs w:val="18"/>
          <w:color w:val="auto"/>
        </w:rPr>
      </w:pPr>
      <w:r>
        <w:rPr>
          <w:rFonts w:ascii="Arial" w:cs="Arial" w:eastAsia="Arial" w:hAnsi="Arial"/>
          <w:sz w:val="18"/>
          <w:szCs w:val="18"/>
          <w:color w:val="auto"/>
        </w:rPr>
        <w:t>10.8</w:t>
      </w:r>
    </w:p>
    <w:p>
      <w:pPr>
        <w:spacing w:after="0" w:line="230" w:lineRule="auto"/>
        <w:framePr w:w="440" w:h="198" w:wrap="auto" w:vAnchor="page" w:hAnchor="page" w:x="1440" w:y="11393"/>
        <w:rPr>
          <w:rFonts w:ascii="Arial" w:cs="Arial" w:eastAsia="Arial" w:hAnsi="Arial"/>
          <w:sz w:val="18"/>
          <w:szCs w:val="18"/>
          <w:color w:val="auto"/>
        </w:rPr>
      </w:pPr>
      <w:r>
        <w:rPr>
          <w:rFonts w:ascii="Arial" w:cs="Arial" w:eastAsia="Arial" w:hAnsi="Arial"/>
          <w:sz w:val="18"/>
          <w:szCs w:val="18"/>
          <w:color w:val="auto"/>
        </w:rPr>
        <w:t>10.7</w:t>
      </w:r>
    </w:p>
    <w:p>
      <w:pPr>
        <w:spacing w:after="0" w:line="230" w:lineRule="auto"/>
        <w:framePr w:w="440" w:h="198" w:wrap="auto" w:vAnchor="page" w:hAnchor="page" w:x="1440" w:y="10344"/>
        <w:rPr>
          <w:rFonts w:ascii="Arial" w:cs="Arial" w:eastAsia="Arial" w:hAnsi="Arial"/>
          <w:sz w:val="18"/>
          <w:szCs w:val="18"/>
          <w:color w:val="auto"/>
        </w:rPr>
      </w:pPr>
      <w:r>
        <w:rPr>
          <w:rFonts w:ascii="Arial" w:cs="Arial" w:eastAsia="Arial" w:hAnsi="Arial"/>
          <w:sz w:val="18"/>
          <w:szCs w:val="18"/>
          <w:color w:val="auto"/>
        </w:rPr>
        <w:t>10.6</w:t>
      </w:r>
    </w:p>
    <w:p>
      <w:pPr>
        <w:spacing w:after="0" w:line="230" w:lineRule="auto"/>
        <w:framePr w:w="440" w:h="198" w:wrap="auto" w:vAnchor="page" w:hAnchor="page" w:x="1440" w:y="9295"/>
        <w:rPr>
          <w:rFonts w:ascii="Arial" w:cs="Arial" w:eastAsia="Arial" w:hAnsi="Arial"/>
          <w:sz w:val="18"/>
          <w:szCs w:val="18"/>
          <w:color w:val="auto"/>
        </w:rPr>
      </w:pPr>
      <w:r>
        <w:rPr>
          <w:rFonts w:ascii="Arial" w:cs="Arial" w:eastAsia="Arial" w:hAnsi="Arial"/>
          <w:sz w:val="18"/>
          <w:szCs w:val="18"/>
          <w:color w:val="auto"/>
        </w:rPr>
        <w:t>10.5</w:t>
      </w:r>
    </w:p>
    <w:p>
      <w:pPr>
        <w:spacing w:after="0" w:line="230" w:lineRule="auto"/>
        <w:framePr w:w="440" w:h="198" w:wrap="auto" w:vAnchor="page" w:hAnchor="page" w:x="1440" w:y="8423"/>
        <w:rPr>
          <w:rFonts w:ascii="Arial" w:cs="Arial" w:eastAsia="Arial" w:hAnsi="Arial"/>
          <w:sz w:val="18"/>
          <w:szCs w:val="18"/>
          <w:color w:val="auto"/>
        </w:rPr>
      </w:pPr>
      <w:r>
        <w:rPr>
          <w:rFonts w:ascii="Arial" w:cs="Arial" w:eastAsia="Arial" w:hAnsi="Arial"/>
          <w:sz w:val="18"/>
          <w:szCs w:val="18"/>
          <w:color w:val="auto"/>
        </w:rPr>
        <w:t>10.4</w:t>
      </w:r>
    </w:p>
    <w:p>
      <w:pPr>
        <w:spacing w:after="0" w:line="230" w:lineRule="auto"/>
        <w:framePr w:w="440" w:h="198" w:wrap="auto" w:vAnchor="page" w:hAnchor="page" w:x="1440" w:y="7374"/>
        <w:rPr>
          <w:rFonts w:ascii="Arial" w:cs="Arial" w:eastAsia="Arial" w:hAnsi="Arial"/>
          <w:sz w:val="18"/>
          <w:szCs w:val="18"/>
          <w:color w:val="auto"/>
        </w:rPr>
      </w:pPr>
      <w:r>
        <w:rPr>
          <w:rFonts w:ascii="Arial" w:cs="Arial" w:eastAsia="Arial" w:hAnsi="Arial"/>
          <w:sz w:val="18"/>
          <w:szCs w:val="18"/>
          <w:color w:val="auto"/>
        </w:rPr>
        <w:t>10.3</w:t>
      </w:r>
    </w:p>
    <w:p>
      <w:pPr>
        <w:spacing w:after="0" w:line="230" w:lineRule="auto"/>
        <w:framePr w:w="440" w:h="198" w:wrap="auto" w:vAnchor="page" w:hAnchor="page" w:x="1440" w:y="6325"/>
        <w:rPr>
          <w:rFonts w:ascii="Arial" w:cs="Arial" w:eastAsia="Arial" w:hAnsi="Arial"/>
          <w:sz w:val="18"/>
          <w:szCs w:val="18"/>
          <w:color w:val="auto"/>
        </w:rPr>
      </w:pPr>
      <w:r>
        <w:rPr>
          <w:rFonts w:ascii="Arial" w:cs="Arial" w:eastAsia="Arial" w:hAnsi="Arial"/>
          <w:sz w:val="18"/>
          <w:szCs w:val="18"/>
          <w:color w:val="auto"/>
        </w:rPr>
        <w:t>10.2</w:t>
      </w:r>
    </w:p>
    <w:p>
      <w:pPr>
        <w:spacing w:after="0" w:line="230" w:lineRule="auto"/>
        <w:framePr w:w="440" w:h="198" w:wrap="auto" w:vAnchor="page" w:hAnchor="page" w:x="1440" w:y="5483"/>
        <w:rPr>
          <w:rFonts w:ascii="Arial" w:cs="Arial" w:eastAsia="Arial" w:hAnsi="Arial"/>
          <w:sz w:val="18"/>
          <w:szCs w:val="18"/>
          <w:color w:val="auto"/>
        </w:rPr>
      </w:pPr>
      <w:r>
        <w:rPr>
          <w:rFonts w:ascii="Arial" w:cs="Arial" w:eastAsia="Arial" w:hAnsi="Arial"/>
          <w:sz w:val="18"/>
          <w:szCs w:val="18"/>
          <w:color w:val="auto"/>
        </w:rPr>
        <w:t>10.1</w:t>
      </w:r>
    </w:p>
    <w:p>
      <w:pPr>
        <w:jc w:val="center"/>
        <w:ind w:right="120"/>
        <w:spacing w:after="0"/>
        <w:rPr>
          <w:sz w:val="20"/>
          <w:szCs w:val="20"/>
          <w:color w:val="auto"/>
        </w:rPr>
      </w:pPr>
      <w:r>
        <w:rPr>
          <w:rFonts w:ascii="Arial" w:cs="Arial" w:eastAsia="Arial" w:hAnsi="Arial"/>
          <w:sz w:val="20"/>
          <w:szCs w:val="20"/>
          <w:b w:val="1"/>
          <w:bCs w:val="1"/>
          <w:color w:val="auto"/>
        </w:rPr>
        <w:t>EXHIBIT INDEX</w:t>
      </w:r>
    </w:p>
    <w:p>
      <w:pPr>
        <w:spacing w:after="0" w:line="259" w:lineRule="exact"/>
        <w:rPr>
          <w:rFonts w:ascii="Arial" w:cs="Arial" w:eastAsia="Arial" w:hAnsi="Arial"/>
          <w:sz w:val="18"/>
          <w:szCs w:val="18"/>
          <w:color w:val="auto"/>
        </w:rPr>
      </w:pPr>
    </w:p>
    <w:p>
      <w:pPr>
        <w:spacing w:after="0"/>
        <w:tabs>
          <w:tab w:leader="none" w:pos="4940" w:val="left"/>
        </w:tabs>
        <w:rPr>
          <w:sz w:val="20"/>
          <w:szCs w:val="20"/>
          <w:color w:val="auto"/>
        </w:rPr>
      </w:pPr>
      <w:r>
        <w:rPr>
          <w:rFonts w:ascii="Arial" w:cs="Arial" w:eastAsia="Arial" w:hAnsi="Arial"/>
          <w:sz w:val="16"/>
          <w:szCs w:val="16"/>
          <w:b w:val="1"/>
          <w:bCs w:val="1"/>
          <w:color w:val="auto"/>
        </w:rPr>
        <w:t>Item No.</w:t>
      </w:r>
      <w:r>
        <w:rPr>
          <w:sz w:val="20"/>
          <w:szCs w:val="20"/>
          <w:color w:val="auto"/>
        </w:rPr>
        <w:tab/>
      </w:r>
      <w:r>
        <w:rPr>
          <w:rFonts w:ascii="Arial" w:cs="Arial" w:eastAsia="Arial" w:hAnsi="Arial"/>
          <w:sz w:val="14"/>
          <w:szCs w:val="14"/>
          <w:b w:val="1"/>
          <w:bCs w:val="1"/>
          <w:color w:val="auto"/>
        </w:rPr>
        <w:t>Description</w:t>
      </w:r>
    </w:p>
    <w:p>
      <w:pPr>
        <w:spacing w:after="0" w:line="31" w:lineRule="exact"/>
        <w:rPr>
          <w:rFonts w:ascii="Arial" w:cs="Arial" w:eastAsia="Arial" w:hAnsi="Arial"/>
          <w:sz w:val="18"/>
          <w:szCs w:val="18"/>
          <w:color w:val="auto"/>
        </w:rPr>
      </w:pPr>
    </w:p>
    <w:p>
      <w:pPr>
        <w:jc w:val="both"/>
        <w:ind w:left="940" w:right="300" w:hanging="467"/>
        <w:spacing w:after="0" w:line="226" w:lineRule="auto"/>
        <w:tabs>
          <w:tab w:leader="none" w:pos="920" w:val="left"/>
        </w:tabs>
        <w:rPr>
          <w:sz w:val="20"/>
          <w:szCs w:val="20"/>
          <w:color w:val="auto"/>
        </w:rPr>
      </w:pPr>
      <w:r>
        <w:rPr>
          <w:rFonts w:ascii="Arial" w:cs="Arial" w:eastAsia="Arial" w:hAnsi="Arial"/>
          <w:sz w:val="20"/>
          <w:szCs w:val="20"/>
          <w:color w:val="auto"/>
        </w:rPr>
        <w:t>2.1</w:t>
        <w:tab/>
        <w:t>Agreement and Plan of Merger dated as of October 26, 2012 among Safety-Kleen, Inc., Clean Harbors, Inc., and CH Merger Sub, Inc. (Incorporated by reference to the Exhibit 2.6 to the Company’s Form 8-K filed on October 31, 2012.)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560070</wp:posOffset>
            </wp:positionH>
            <wp:positionV relativeFrom="paragraph">
              <wp:posOffset>-411480</wp:posOffset>
            </wp:positionV>
            <wp:extent cx="567626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9">
                      <a:extLst>
                        <a:ext uri="{28A0092B-C50C-407E-A947-70E740481C1C}"/>
                      </a:extLst>
                    </a:blip>
                    <a:srcRect/>
                    <a:stretch>
                      <a:fillRect/>
                    </a:stretch>
                  </pic:blipFill>
                  <pic:spPr bwMode="auto">
                    <a:xfrm>
                      <a:off x="0" y="0"/>
                      <a:ext cx="5676265" cy="12700"/>
                    </a:xfrm>
                    <a:prstGeom prst="rect">
                      <a:avLst/>
                    </a:prstGeom>
                    <a:noFill/>
                  </pic:spPr>
                </pic:pic>
              </a:graphicData>
            </a:graphic>
          </wp:anchor>
        </w:drawing>
      </w:r>
    </w:p>
    <w:p>
      <w:pPr>
        <w:ind w:left="940" w:right="180" w:hanging="467"/>
        <w:spacing w:after="0" w:line="237" w:lineRule="auto"/>
        <w:tabs>
          <w:tab w:leader="none" w:pos="920" w:val="left"/>
        </w:tabs>
        <w:rPr>
          <w:sz w:val="20"/>
          <w:szCs w:val="20"/>
          <w:color w:val="auto"/>
        </w:rPr>
      </w:pPr>
      <w:r>
        <w:rPr>
          <w:rFonts w:ascii="Arial" w:cs="Arial" w:eastAsia="Arial" w:hAnsi="Arial"/>
          <w:sz w:val="20"/>
          <w:szCs w:val="20"/>
          <w:color w:val="auto"/>
        </w:rPr>
        <w:t>3.1</w:t>
        <w:tab/>
        <w:t>Restated Articles of Organization of Clean Harbors, Inc. (Incorporated by reference to the Exhibit 3.1A to the Company's Form 8-K Report filed on May 19, 2005.)</w:t>
      </w:r>
    </w:p>
    <w:p>
      <w:pPr>
        <w:spacing w:after="0" w:line="4" w:lineRule="exact"/>
        <w:rPr>
          <w:rFonts w:ascii="Arial" w:cs="Arial" w:eastAsia="Arial" w:hAnsi="Arial"/>
          <w:sz w:val="18"/>
          <w:szCs w:val="18"/>
          <w:color w:val="auto"/>
        </w:rPr>
      </w:pPr>
    </w:p>
    <w:p>
      <w:pPr>
        <w:ind w:left="940" w:right="360" w:hanging="467"/>
        <w:spacing w:after="0" w:line="265" w:lineRule="auto"/>
        <w:tabs>
          <w:tab w:leader="none" w:pos="9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Articles of Amendment as filed on May 9, 2011 to Restated Articles of Organization of Clean Harbors, Inc. (Incorporated by reference to the Exhibit 3.1B to the Company's Form 8-K Report filed on May 12, 2011.)</w:t>
      </w:r>
    </w:p>
    <w:p>
      <w:pPr>
        <w:spacing w:after="0" w:line="1" w:lineRule="exact"/>
        <w:rPr>
          <w:rFonts w:ascii="Arial" w:cs="Arial" w:eastAsia="Arial" w:hAnsi="Arial"/>
          <w:sz w:val="18"/>
          <w:szCs w:val="18"/>
          <w:color w:val="auto"/>
        </w:rPr>
      </w:pPr>
    </w:p>
    <w:p>
      <w:pPr>
        <w:ind w:left="940" w:right="220" w:hanging="467"/>
        <w:spacing w:after="0" w:line="237" w:lineRule="auto"/>
        <w:tabs>
          <w:tab w:leader="none" w:pos="920" w:val="left"/>
        </w:tabs>
        <w:rPr>
          <w:sz w:val="20"/>
          <w:szCs w:val="20"/>
          <w:color w:val="auto"/>
        </w:rPr>
      </w:pPr>
      <w:r>
        <w:rPr>
          <w:rFonts w:ascii="Arial" w:cs="Arial" w:eastAsia="Arial" w:hAnsi="Arial"/>
          <w:sz w:val="20"/>
          <w:szCs w:val="20"/>
          <w:color w:val="auto"/>
        </w:rPr>
        <w:t>3.3</w:t>
        <w:tab/>
        <w:t>Amended and Restated By-Laws of Clean Harbors, Inc. (Incorporated by reference to the Exhibit 3.4D to the Company's Form 8-K Report filed on March 16, 2022.)</w:t>
      </w:r>
    </w:p>
    <w:p>
      <w:pPr>
        <w:ind w:left="460"/>
        <w:spacing w:after="0"/>
        <w:tabs>
          <w:tab w:leader="none" w:pos="9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color w:val="auto"/>
        </w:rPr>
        <w:t>Description of Registrant's Securities (Incorporated by reference to prospectus supplement dated November 28,</w:t>
      </w:r>
    </w:p>
    <w:p>
      <w:pPr>
        <w:ind w:left="940"/>
        <w:spacing w:after="0" w:line="216" w:lineRule="auto"/>
        <w:rPr>
          <w:sz w:val="20"/>
          <w:szCs w:val="20"/>
          <w:color w:val="auto"/>
        </w:rPr>
      </w:pPr>
      <w:r>
        <w:rPr>
          <w:rFonts w:ascii="Arial" w:cs="Arial" w:eastAsia="Arial" w:hAnsi="Arial"/>
          <w:sz w:val="19"/>
          <w:szCs w:val="19"/>
          <w:color w:val="auto"/>
        </w:rPr>
        <w:t>2012 filed on November 28, 2012 under the Company’s Registration Statement on Form S-3 (File No.</w:t>
      </w:r>
    </w:p>
    <w:p>
      <w:pPr>
        <w:ind w:left="940"/>
        <w:spacing w:after="0"/>
        <w:rPr>
          <w:sz w:val="20"/>
          <w:szCs w:val="20"/>
          <w:color w:val="auto"/>
        </w:rPr>
      </w:pPr>
      <w:r>
        <w:rPr>
          <w:rFonts w:ascii="Arial" w:cs="Arial" w:eastAsia="Arial" w:hAnsi="Arial"/>
          <w:sz w:val="20"/>
          <w:szCs w:val="20"/>
          <w:color w:val="auto"/>
        </w:rPr>
        <w:t>333-185141))</w:t>
      </w:r>
    </w:p>
    <w:p>
      <w:pPr>
        <w:spacing w:after="0" w:line="27" w:lineRule="exact"/>
        <w:rPr>
          <w:rFonts w:ascii="Arial" w:cs="Arial" w:eastAsia="Arial" w:hAnsi="Arial"/>
          <w:sz w:val="18"/>
          <w:szCs w:val="18"/>
          <w:color w:val="auto"/>
        </w:rPr>
      </w:pPr>
    </w:p>
    <w:p>
      <w:pPr>
        <w:jc w:val="both"/>
        <w:ind w:left="940" w:hanging="467"/>
        <w:spacing w:after="0" w:line="233" w:lineRule="auto"/>
        <w:tabs>
          <w:tab w:leader="none" w:pos="9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Indenture dated as of July 2, 2019, among Clean Harbors, Inc., as Issuer, the subsidiaries of Clean Harbors, Inc. named therein as Guarantors, and U.S. Bank National Association, as Trustee Indenture dated as of January 24, 2023, among Clean Harbors, Inc., the subsidiaries of Clean Harbors, Inc. named therein as Guarantors, and U.S. Bank Trust Company, National Association, as Trustee</w:t>
      </w:r>
    </w:p>
    <w:p>
      <w:pPr>
        <w:spacing w:after="0" w:line="3" w:lineRule="exact"/>
        <w:rPr>
          <w:rFonts w:ascii="Arial" w:cs="Arial" w:eastAsia="Arial" w:hAnsi="Arial"/>
          <w:sz w:val="18"/>
          <w:szCs w:val="18"/>
          <w:color w:val="auto"/>
        </w:rPr>
      </w:pPr>
    </w:p>
    <w:p>
      <w:pPr>
        <w:ind w:left="940" w:right="20" w:hanging="467"/>
        <w:spacing w:after="0" w:line="247" w:lineRule="auto"/>
        <w:tabs>
          <w:tab w:leader="none" w:pos="9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color w:val="auto"/>
        </w:rPr>
        <w:t>Indenture dated as of January 24, 2023, among Clean Harbors, Inc., the subsidiaries of Clean Harbors, Inc. named therein as Guarantors, and U.S. Bank Trust Company, National Association, as Trustee (Incorporated by reference to the Exhibit 4.46 to the Company's Form 8-K Report filed on January 25, 2023.)</w:t>
      </w:r>
    </w:p>
    <w:p>
      <w:pPr>
        <w:spacing w:after="0" w:line="21" w:lineRule="exact"/>
        <w:rPr>
          <w:rFonts w:ascii="Arial" w:cs="Arial" w:eastAsia="Arial" w:hAnsi="Arial"/>
          <w:sz w:val="18"/>
          <w:szCs w:val="18"/>
          <w:color w:val="auto"/>
        </w:rPr>
      </w:pPr>
    </w:p>
    <w:p>
      <w:pPr>
        <w:ind w:left="940" w:right="20"/>
        <w:spacing w:after="0" w:line="232" w:lineRule="auto"/>
        <w:rPr>
          <w:sz w:val="20"/>
          <w:szCs w:val="20"/>
          <w:color w:val="auto"/>
        </w:rPr>
      </w:pPr>
      <w:r>
        <w:rPr>
          <w:rFonts w:ascii="Arial" w:cs="Arial" w:eastAsia="Arial" w:hAnsi="Arial"/>
          <w:sz w:val="19"/>
          <w:szCs w:val="19"/>
          <w:color w:val="auto"/>
        </w:rPr>
        <w:t>Sixth Amended and Restated Credit Agreement dated as of October 28, 2020 among Clean Harbors, Inc., as the U.S. Borrower, Clean Harbors Industrial Services Canada, Inc., as the Canadian Borrower, Bank of America, N.A., as Administrative Agent, and the Lenders party thereto (Incorporated by reference to the Exhibit 4.34 to the Company's Form 8-K Report filed on October 30, 2020.)</w:t>
      </w:r>
    </w:p>
    <w:p>
      <w:pPr>
        <w:spacing w:after="0" w:line="2" w:lineRule="exact"/>
        <w:rPr>
          <w:rFonts w:ascii="Arial" w:cs="Arial" w:eastAsia="Arial" w:hAnsi="Arial"/>
          <w:sz w:val="18"/>
          <w:szCs w:val="18"/>
          <w:color w:val="auto"/>
        </w:rPr>
      </w:pPr>
    </w:p>
    <w:p>
      <w:pPr>
        <w:ind w:left="940" w:right="140"/>
        <w:spacing w:after="0" w:line="229" w:lineRule="auto"/>
        <w:rPr>
          <w:sz w:val="20"/>
          <w:szCs w:val="20"/>
          <w:color w:val="auto"/>
        </w:rPr>
      </w:pPr>
      <w:r>
        <w:rPr>
          <w:rFonts w:ascii="Arial" w:cs="Arial" w:eastAsia="Arial" w:hAnsi="Arial"/>
          <w:sz w:val="19"/>
          <w:szCs w:val="19"/>
          <w:color w:val="auto"/>
        </w:rPr>
        <w:t>First Amendment dated April 28, 2023 to Sixth Amended and Restated Credit Agreement dated as of October 28, 2020 among Clean Harbors, Inc., as the U.S. Borrower, Clean Harbors Industrial Services Canada, Inc., as the Canadian Borrower, Bank of America, N.A., as Administrative Agent and the Lenders party thereto (Incorporated by reference to the Exhibit 4.34.1 to the Company's Form 10-Q Quarterly Report for the Quarterly Period ended March 31, 2023.)</w:t>
      </w:r>
    </w:p>
    <w:p>
      <w:pPr>
        <w:spacing w:after="0" w:line="7" w:lineRule="exact"/>
        <w:rPr>
          <w:rFonts w:ascii="Arial" w:cs="Arial" w:eastAsia="Arial" w:hAnsi="Arial"/>
          <w:sz w:val="18"/>
          <w:szCs w:val="18"/>
          <w:color w:val="auto"/>
        </w:rPr>
      </w:pPr>
    </w:p>
    <w:p>
      <w:pPr>
        <w:ind w:left="940" w:right="100"/>
        <w:spacing w:after="0" w:line="218" w:lineRule="auto"/>
        <w:rPr>
          <w:sz w:val="20"/>
          <w:szCs w:val="20"/>
          <w:color w:val="auto"/>
        </w:rPr>
      </w:pPr>
      <w:r>
        <w:rPr>
          <w:rFonts w:ascii="Arial" w:cs="Arial" w:eastAsia="Arial" w:hAnsi="Arial"/>
          <w:sz w:val="20"/>
          <w:szCs w:val="20"/>
          <w:color w:val="auto"/>
        </w:rPr>
        <w:t>Amended and Restated Security Agreement (Canadian Domiciled Loan Parties) dated as of November 1, 2016 among Clean Harbors Industrial Services Canada, Inc., as the Canadian Borrower and a Grantor, the subsidiaries of Clean Harbors, Inc. listed on Annex A thereto or that thereafter become a party thereto as Grantors, and Bank of America, N.A., as Agent (Incorporated by reference to the Exhibit 4.34B to the Company's Form 8-K Report filed on November 2, 2016.)</w:t>
      </w:r>
    </w:p>
    <w:p>
      <w:pPr>
        <w:spacing w:after="0" w:line="5" w:lineRule="exact"/>
        <w:rPr>
          <w:rFonts w:ascii="Arial" w:cs="Arial" w:eastAsia="Arial" w:hAnsi="Arial"/>
          <w:sz w:val="18"/>
          <w:szCs w:val="18"/>
          <w:color w:val="auto"/>
        </w:rPr>
      </w:pPr>
    </w:p>
    <w:p>
      <w:pPr>
        <w:ind w:left="940" w:right="140"/>
        <w:spacing w:after="0" w:line="248" w:lineRule="auto"/>
        <w:rPr>
          <w:sz w:val="20"/>
          <w:szCs w:val="20"/>
          <w:color w:val="auto"/>
        </w:rPr>
      </w:pPr>
      <w:r>
        <w:rPr>
          <w:rFonts w:ascii="Arial" w:cs="Arial" w:eastAsia="Arial" w:hAnsi="Arial"/>
          <w:sz w:val="18"/>
          <w:szCs w:val="18"/>
          <w:color w:val="auto"/>
        </w:rPr>
        <w:t>Amended and Restated Guarantee (U.S. Domiciled Loan Parties-U.S. Facility Obligations) dated as of November 1, 2016 executed by the U.S. Domiciled Subsidiaries of Clean Harbors, Inc. named therein in favor of Bank of America, N.A., as Agent for itself and the other U.S. Facility Secured Parties (Incorporated by reference to the Exhibit 4.34C to the Company's Form 8-K Report filed on November 2, 2016.)</w:t>
      </w:r>
    </w:p>
    <w:p>
      <w:pPr>
        <w:spacing w:after="0" w:line="17" w:lineRule="exact"/>
        <w:rPr>
          <w:rFonts w:ascii="Arial" w:cs="Arial" w:eastAsia="Arial" w:hAnsi="Arial"/>
          <w:sz w:val="18"/>
          <w:szCs w:val="18"/>
          <w:color w:val="auto"/>
        </w:rPr>
      </w:pPr>
    </w:p>
    <w:p>
      <w:pPr>
        <w:ind w:left="940"/>
        <w:spacing w:after="0" w:line="218" w:lineRule="auto"/>
        <w:rPr>
          <w:sz w:val="20"/>
          <w:szCs w:val="20"/>
          <w:color w:val="auto"/>
        </w:rPr>
      </w:pPr>
      <w:r>
        <w:rPr>
          <w:rFonts w:ascii="Arial" w:cs="Arial" w:eastAsia="Arial" w:hAnsi="Arial"/>
          <w:sz w:val="20"/>
          <w:szCs w:val="20"/>
          <w:color w:val="auto"/>
        </w:rPr>
        <w:t>Amended and Restated Guarantee (Canadian Domiciled Loan Parties-Canadian Facility Obligations) dated as of November 1, 2016 executed by the Canadian Domiciled Subsidiaries of Clean Harbors, Inc. named therein in favor of Bank of America, N.A., as Agent for itself and the other Canadian Facility Secured Parties (Incorporated by reference to the Exhibit 4.34D to the Company's Form 8-K Report filed on November 2, 2016.)</w:t>
      </w:r>
    </w:p>
    <w:p>
      <w:pPr>
        <w:spacing w:after="0" w:line="5" w:lineRule="exact"/>
        <w:rPr>
          <w:rFonts w:ascii="Arial" w:cs="Arial" w:eastAsia="Arial" w:hAnsi="Arial"/>
          <w:sz w:val="18"/>
          <w:szCs w:val="18"/>
          <w:color w:val="auto"/>
        </w:rPr>
      </w:pPr>
    </w:p>
    <w:p>
      <w:pPr>
        <w:ind w:left="940" w:right="60"/>
        <w:spacing w:after="0" w:line="218" w:lineRule="auto"/>
        <w:rPr>
          <w:sz w:val="20"/>
          <w:szCs w:val="20"/>
          <w:color w:val="auto"/>
        </w:rPr>
      </w:pPr>
      <w:r>
        <w:rPr>
          <w:rFonts w:ascii="Arial" w:cs="Arial" w:eastAsia="Arial" w:hAnsi="Arial"/>
          <w:sz w:val="20"/>
          <w:szCs w:val="20"/>
          <w:color w:val="auto"/>
        </w:rPr>
        <w:t>Amended and Restated Guarantee (U.S. Domiciled Loan Parties-Canadian Facility Obligations) dated as of November 1, 2016 executed by Clean Harbors, Inc. and the U.S. Domiciled Subsidiaries of Clean Harbors, Inc. named therein in favor of Bank of America, N.A., as Agent for itself and the other Canadian Facility Secured Parties (Incorporated by reference to the Exhibit 4.34E to the Company's Form 8-K Report filed on November 2, 2016.)</w:t>
      </w:r>
    </w:p>
    <w:p>
      <w:pPr>
        <w:spacing w:after="0" w:line="25" w:lineRule="exact"/>
        <w:rPr>
          <w:rFonts w:ascii="Arial" w:cs="Arial" w:eastAsia="Arial" w:hAnsi="Arial"/>
          <w:sz w:val="18"/>
          <w:szCs w:val="18"/>
          <w:color w:val="auto"/>
        </w:rPr>
      </w:pPr>
    </w:p>
    <w:p>
      <w:pPr>
        <w:ind w:left="940" w:right="40"/>
        <w:spacing w:after="0" w:line="281" w:lineRule="auto"/>
        <w:rPr>
          <w:sz w:val="20"/>
          <w:szCs w:val="20"/>
          <w:color w:val="auto"/>
        </w:rPr>
      </w:pPr>
      <w:r>
        <w:rPr>
          <w:rFonts w:ascii="Arial" w:cs="Arial" w:eastAsia="Arial" w:hAnsi="Arial"/>
          <w:sz w:val="16"/>
          <w:szCs w:val="16"/>
          <w:color w:val="auto"/>
        </w:rPr>
        <w:t>Second Amended and Restated Security Agreement (U.S. Domiciled Loan Parties) dated as of June 30, 2017, among Clean Harbors, Inc., as the U.S. Borrower and a Grantor, the subsidiaries of Clean Harbors, Inc. listed on Annex A thereto or that thereafter become a party thereto as Grantors, and Bank of America, N.A., as Agent (Incorporated by reference to the Exhibit 4.34G to the Company's Form 8-K Report filed on June 30, 2017.)</w:t>
      </w:r>
    </w:p>
    <w:p>
      <w:pPr>
        <w:ind w:left="940"/>
        <w:spacing w:after="0" w:line="216" w:lineRule="auto"/>
        <w:rPr>
          <w:sz w:val="20"/>
          <w:szCs w:val="20"/>
          <w:color w:val="auto"/>
        </w:rPr>
      </w:pPr>
      <w:r>
        <w:rPr>
          <w:rFonts w:ascii="Arial" w:cs="Arial" w:eastAsia="Arial" w:hAnsi="Arial"/>
          <w:sz w:val="20"/>
          <w:szCs w:val="20"/>
          <w:color w:val="auto"/>
        </w:rPr>
        <w:t>Amended and Restated Confirmation and Ratification of Ancillary Loan Documents dated as of October 28, 2020 among Clean Harbors, Inc., as the U.S. Borrower, Clean Harbors Industrial Services Canada, Inc., as the Canadian Borrower, the subsidiaries of Clean Harbors, Inc. listed on Annex A thereto or that thereafter become a party thereto as Grantors, and Bank of America, N.A., as Agent for its own benefit and the benefit of the other Lenders and Credit Parties (Incorporated by reference to the Exhibit 4.34K to the Company's Form 8-K Report filed on October 30, 2020.)</w:t>
      </w:r>
    </w:p>
    <w:p>
      <w:pPr>
        <w:spacing w:after="0" w:line="24" w:lineRule="exact"/>
        <w:rPr>
          <w:rFonts w:ascii="Arial" w:cs="Arial" w:eastAsia="Arial" w:hAnsi="Arial"/>
          <w:sz w:val="18"/>
          <w:szCs w:val="18"/>
          <w:color w:val="auto"/>
        </w:rPr>
      </w:pPr>
    </w:p>
    <w:p>
      <w:pPr>
        <w:ind w:left="940" w:right="160"/>
        <w:spacing w:after="0" w:line="233" w:lineRule="auto"/>
        <w:rPr>
          <w:sz w:val="20"/>
          <w:szCs w:val="20"/>
          <w:color w:val="auto"/>
        </w:rPr>
      </w:pPr>
      <w:r>
        <w:rPr>
          <w:rFonts w:ascii="Arial" w:cs="Arial" w:eastAsia="Arial" w:hAnsi="Arial"/>
          <w:sz w:val="19"/>
          <w:szCs w:val="19"/>
          <w:color w:val="auto"/>
        </w:rPr>
        <w:t>Credit Agreement dated as of June 30, 2017, among the Financial Institutions party thereto, as Lenders, Goldman Sachs Lending Partners LLC, as Administrative Agent and Collateral Agent, Clean Harbors, Inc., as Borrower, and the Loan Guarantors from time to time party thereto (Incorporated by reference to the Exhibit 4.43 to the Company's Form 8-K Report filed on June 30, 2017.)</w:t>
      </w:r>
    </w:p>
    <w:p>
      <w:pPr>
        <w:sectPr>
          <w:pgSz w:w="11880" w:h="15480" w:orient="portrait"/>
          <w:cols w:equalWidth="0" w:num="1">
            <w:col w:w="9760"/>
          </w:cols>
          <w:pgMar w:left="1120" w:top="568" w:right="1000" w:bottom="0" w:gutter="0" w:footer="0" w:header="0"/>
        </w:sectPr>
      </w:pPr>
    </w:p>
    <w:p>
      <w:pPr>
        <w:spacing w:after="0" w:line="200" w:lineRule="exact"/>
        <w:rPr>
          <w:rFonts w:ascii="Arial" w:cs="Arial" w:eastAsia="Arial" w:hAnsi="Arial"/>
          <w:sz w:val="18"/>
          <w:szCs w:val="18"/>
          <w:color w:val="auto"/>
        </w:rPr>
      </w:pPr>
    </w:p>
    <w:p>
      <w:pPr>
        <w:spacing w:after="0" w:line="301" w:lineRule="exact"/>
        <w:rPr>
          <w:rFonts w:ascii="Arial" w:cs="Arial" w:eastAsia="Arial" w:hAnsi="Arial"/>
          <w:sz w:val="18"/>
          <w:szCs w:val="18"/>
          <w:color w:val="auto"/>
        </w:rPr>
      </w:pPr>
    </w:p>
    <w:p>
      <w:pPr>
        <w:jc w:val="center"/>
        <w:ind w:right="120"/>
        <w:spacing w:after="0"/>
        <w:rPr>
          <w:sz w:val="20"/>
          <w:szCs w:val="20"/>
          <w:color w:val="auto"/>
        </w:rPr>
      </w:pPr>
      <w:r>
        <w:rPr>
          <w:rFonts w:ascii="Arial" w:cs="Arial" w:eastAsia="Arial" w:hAnsi="Arial"/>
          <w:sz w:val="16"/>
          <w:szCs w:val="16"/>
          <w:color w:val="auto"/>
        </w:rPr>
        <w:t>99</w:t>
      </w:r>
    </w:p>
    <w:p>
      <w:pPr>
        <w:sectPr>
          <w:pgSz w:w="11880" w:h="15480" w:orient="portrait"/>
          <w:cols w:equalWidth="0" w:num="1">
            <w:col w:w="9760"/>
          </w:cols>
          <w:pgMar w:left="1120" w:top="568" w:right="1000" w:bottom="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1"/>
              <w:spacing w:after="0"/>
              <w:rPr>
                <w:sz w:val="20"/>
                <w:szCs w:val="20"/>
                <w:color w:val="auto"/>
              </w:rPr>
            </w:pPr>
            <w:r>
              <w:rPr>
                <w:rFonts w:ascii="Arial" w:cs="Arial" w:eastAsia="Arial" w:hAnsi="Arial"/>
                <w:sz w:val="20"/>
                <w:szCs w:val="20"/>
                <w:color w:val="auto"/>
              </w:rPr>
              <w:t>10.10</w:t>
            </w:r>
          </w:p>
        </w:tc>
        <w:tc>
          <w:tcPr>
            <w:tcW w:w="8940" w:type="dxa"/>
            <w:vAlign w:val="bottom"/>
          </w:tcPr>
          <w:p>
            <w:pPr>
              <w:ind w:left="120"/>
              <w:spacing w:after="0"/>
              <w:rPr>
                <w:sz w:val="20"/>
                <w:szCs w:val="20"/>
                <w:color w:val="auto"/>
              </w:rPr>
            </w:pPr>
            <w:r>
              <w:rPr>
                <w:rFonts w:ascii="Arial" w:cs="Arial" w:eastAsia="Arial" w:hAnsi="Arial"/>
                <w:sz w:val="20"/>
                <w:szCs w:val="20"/>
                <w:color w:val="auto"/>
                <w:w w:val="89"/>
              </w:rPr>
              <w:t>Security Agreement dated as of June 30, 2017, among Clean Harbors, Inc. and its subsidiaries listed on Annex</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2"/>
              </w:rPr>
              <w:t>A thereto or that become a party thereto as the Grantors, and Goldman Sachs Lending Partners LLC, as the</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3"/>
              </w:rPr>
              <w:t>Agent (Incorporated by reference to the Exhibit 4.43A to the Company's Form 8-K Report filed on June 30,</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2017.)</w:t>
            </w:r>
          </w:p>
        </w:tc>
      </w:tr>
      <w:tr>
        <w:trPr>
          <w:trHeight w:val="219"/>
        </w:trPr>
        <w:tc>
          <w:tcPr>
            <w:tcW w:w="640" w:type="dxa"/>
            <w:vAlign w:val="bottom"/>
          </w:tcPr>
          <w:p>
            <w:pPr>
              <w:jc w:val="right"/>
              <w:ind w:right="1"/>
              <w:spacing w:after="0" w:line="219" w:lineRule="exact"/>
              <w:rPr>
                <w:sz w:val="20"/>
                <w:szCs w:val="20"/>
                <w:color w:val="auto"/>
              </w:rPr>
            </w:pPr>
            <w:r>
              <w:rPr>
                <w:rFonts w:ascii="Arial" w:cs="Arial" w:eastAsia="Arial" w:hAnsi="Arial"/>
                <w:sz w:val="20"/>
                <w:szCs w:val="20"/>
                <w:color w:val="auto"/>
              </w:rPr>
              <w:t>10.11</w:t>
            </w:r>
          </w:p>
        </w:tc>
        <w:tc>
          <w:tcPr>
            <w:tcW w:w="8940" w:type="dxa"/>
            <w:vAlign w:val="bottom"/>
          </w:tcPr>
          <w:p>
            <w:pPr>
              <w:ind w:left="120"/>
              <w:spacing w:after="0" w:line="219" w:lineRule="exact"/>
              <w:rPr>
                <w:sz w:val="20"/>
                <w:szCs w:val="20"/>
                <w:color w:val="auto"/>
              </w:rPr>
            </w:pPr>
            <w:r>
              <w:rPr>
                <w:rFonts w:ascii="Arial" w:cs="Arial" w:eastAsia="Arial" w:hAnsi="Arial"/>
                <w:sz w:val="20"/>
                <w:szCs w:val="20"/>
                <w:color w:val="auto"/>
                <w:w w:val="96"/>
              </w:rPr>
              <w:t>First Amendment to Credit Agreement dated as of April 17, 2018, among the Financial Institutions party</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3"/>
              </w:rPr>
              <w:t>thereto, as Lenders, Goldman Sachs Lending Partners LLC, as Administrative Agent and Collateral Agent,</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2"/>
              </w:rPr>
              <w:t>Clean Harbors, Inc., as Borrower, and the Loan Guarantors from time to time party thereto (Incorporated by</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reference to the Exhibit 4.43B to the Company's Form 8-K Report filed on April 17, 2018.)</w:t>
            </w:r>
          </w:p>
        </w:tc>
      </w:tr>
      <w:tr>
        <w:trPr>
          <w:trHeight w:val="219"/>
        </w:trPr>
        <w:tc>
          <w:tcPr>
            <w:tcW w:w="640" w:type="dxa"/>
            <w:vAlign w:val="bottom"/>
          </w:tcPr>
          <w:p>
            <w:pPr>
              <w:jc w:val="right"/>
              <w:ind w:right="1"/>
              <w:spacing w:after="0" w:line="219" w:lineRule="exact"/>
              <w:rPr>
                <w:sz w:val="20"/>
                <w:szCs w:val="20"/>
                <w:color w:val="auto"/>
              </w:rPr>
            </w:pPr>
            <w:r>
              <w:rPr>
                <w:rFonts w:ascii="Arial" w:cs="Arial" w:eastAsia="Arial" w:hAnsi="Arial"/>
                <w:sz w:val="20"/>
                <w:szCs w:val="20"/>
                <w:color w:val="auto"/>
              </w:rPr>
              <w:t>10.12</w:t>
            </w:r>
          </w:p>
        </w:tc>
        <w:tc>
          <w:tcPr>
            <w:tcW w:w="8940" w:type="dxa"/>
            <w:vAlign w:val="bottom"/>
          </w:tcPr>
          <w:p>
            <w:pPr>
              <w:ind w:left="120"/>
              <w:spacing w:after="0" w:line="219" w:lineRule="exact"/>
              <w:rPr>
                <w:sz w:val="20"/>
                <w:szCs w:val="20"/>
                <w:color w:val="auto"/>
              </w:rPr>
            </w:pPr>
            <w:r>
              <w:rPr>
                <w:rFonts w:ascii="Arial" w:cs="Arial" w:eastAsia="Arial" w:hAnsi="Arial"/>
                <w:sz w:val="20"/>
                <w:szCs w:val="20"/>
                <w:color w:val="auto"/>
                <w:w w:val="91"/>
              </w:rPr>
              <w:t>Incremental Facility Amendment dated July 19, 2018, to Credit Agreement dated as of June 30, 2017, among</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1"/>
              </w:rPr>
              <w:t>the Financial Institutions party thereto, as Lenders, Goldman Sachs Lending Partners LLC, as Administrative</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89"/>
              </w:rPr>
              <w:t>Agent and Collateral Agent, Clean Harbors, Inc., as Borrower, and the Loan Guarantors from time to time party</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w w:val="93"/>
              </w:rPr>
              <w:t>thereto (Incorporated by reference to the Exhibit 4.43C to the Company's Form 8-K filed on July 20, 2018.)</w:t>
            </w:r>
          </w:p>
        </w:tc>
      </w:tr>
      <w:tr>
        <w:trPr>
          <w:trHeight w:val="246"/>
        </w:trPr>
        <w:tc>
          <w:tcPr>
            <w:tcW w:w="640" w:type="dxa"/>
            <w:vAlign w:val="bottom"/>
          </w:tcPr>
          <w:p>
            <w:pPr>
              <w:jc w:val="right"/>
              <w:ind w:right="1"/>
              <w:spacing w:after="0"/>
              <w:rPr>
                <w:sz w:val="20"/>
                <w:szCs w:val="20"/>
                <w:color w:val="auto"/>
              </w:rPr>
            </w:pPr>
            <w:r>
              <w:rPr>
                <w:rFonts w:ascii="Arial" w:cs="Arial" w:eastAsia="Arial" w:hAnsi="Arial"/>
                <w:sz w:val="20"/>
                <w:szCs w:val="20"/>
                <w:color w:val="auto"/>
              </w:rPr>
              <w:t>10.13</w:t>
            </w:r>
          </w:p>
        </w:tc>
        <w:tc>
          <w:tcPr>
            <w:tcW w:w="8940" w:type="dxa"/>
            <w:vAlign w:val="bottom"/>
          </w:tcPr>
          <w:p>
            <w:pPr>
              <w:ind w:left="120"/>
              <w:spacing w:after="0"/>
              <w:rPr>
                <w:sz w:val="20"/>
                <w:szCs w:val="20"/>
                <w:color w:val="auto"/>
              </w:rPr>
            </w:pPr>
            <w:r>
              <w:rPr>
                <w:rFonts w:ascii="Arial" w:cs="Arial" w:eastAsia="Arial" w:hAnsi="Arial"/>
                <w:sz w:val="20"/>
                <w:szCs w:val="20"/>
                <w:color w:val="auto"/>
                <w:w w:val="90"/>
              </w:rPr>
              <w:t>Incremental Facility Amendment No. 2 to Credit Agreement, dated as of October 8, 2021, to Credit Agreement</w:t>
            </w:r>
          </w:p>
        </w:tc>
      </w:tr>
      <w:tr>
        <w:trPr>
          <w:trHeight w:val="221"/>
        </w:trPr>
        <w:tc>
          <w:tcPr>
            <w:tcW w:w="640" w:type="dxa"/>
            <w:vAlign w:val="bottom"/>
          </w:tcPr>
          <w:p>
            <w:pPr>
              <w:spacing w:after="0"/>
              <w:rPr>
                <w:sz w:val="19"/>
                <w:szCs w:val="19"/>
                <w:color w:val="auto"/>
              </w:rPr>
            </w:pPr>
          </w:p>
        </w:tc>
        <w:tc>
          <w:tcPr>
            <w:tcW w:w="8940" w:type="dxa"/>
            <w:vAlign w:val="bottom"/>
          </w:tcPr>
          <w:p>
            <w:pPr>
              <w:ind w:left="120"/>
              <w:spacing w:after="0" w:line="221" w:lineRule="exact"/>
              <w:rPr>
                <w:sz w:val="20"/>
                <w:szCs w:val="20"/>
                <w:color w:val="auto"/>
              </w:rPr>
            </w:pPr>
            <w:r>
              <w:rPr>
                <w:rFonts w:ascii="Arial" w:cs="Arial" w:eastAsia="Arial" w:hAnsi="Arial"/>
                <w:sz w:val="20"/>
                <w:szCs w:val="20"/>
                <w:color w:val="auto"/>
                <w:w w:val="91"/>
              </w:rPr>
              <w:t>dated as of June 30, 2017, as previously amended, among Clean Harbors, Inc., as the Borrower, each of the</w:t>
            </w:r>
          </w:p>
        </w:tc>
      </w:tr>
      <w:tr>
        <w:trPr>
          <w:trHeight w:val="221"/>
        </w:trPr>
        <w:tc>
          <w:tcPr>
            <w:tcW w:w="640" w:type="dxa"/>
            <w:vAlign w:val="bottom"/>
          </w:tcPr>
          <w:p>
            <w:pPr>
              <w:spacing w:after="0"/>
              <w:rPr>
                <w:sz w:val="19"/>
                <w:szCs w:val="19"/>
                <w:color w:val="auto"/>
              </w:rPr>
            </w:pPr>
          </w:p>
        </w:tc>
        <w:tc>
          <w:tcPr>
            <w:tcW w:w="8940" w:type="dxa"/>
            <w:vAlign w:val="bottom"/>
          </w:tcPr>
          <w:p>
            <w:pPr>
              <w:ind w:left="120"/>
              <w:spacing w:after="0" w:line="221" w:lineRule="exact"/>
              <w:rPr>
                <w:sz w:val="20"/>
                <w:szCs w:val="20"/>
                <w:color w:val="auto"/>
              </w:rPr>
            </w:pPr>
            <w:r>
              <w:rPr>
                <w:rFonts w:ascii="Arial" w:cs="Arial" w:eastAsia="Arial" w:hAnsi="Arial"/>
                <w:sz w:val="20"/>
                <w:szCs w:val="20"/>
                <w:color w:val="auto"/>
                <w:w w:val="89"/>
              </w:rPr>
              <w:t>entities listed as an Incremental Lender on the signature pages thereto, Goldman Sachs Lending Partners LLC,</w:t>
            </w:r>
          </w:p>
        </w:tc>
      </w:tr>
      <w:tr>
        <w:trPr>
          <w:trHeight w:val="221"/>
        </w:trPr>
        <w:tc>
          <w:tcPr>
            <w:tcW w:w="640" w:type="dxa"/>
            <w:vAlign w:val="bottom"/>
          </w:tcPr>
          <w:p>
            <w:pPr>
              <w:spacing w:after="0"/>
              <w:rPr>
                <w:sz w:val="19"/>
                <w:szCs w:val="19"/>
                <w:color w:val="auto"/>
              </w:rPr>
            </w:pPr>
          </w:p>
        </w:tc>
        <w:tc>
          <w:tcPr>
            <w:tcW w:w="8940" w:type="dxa"/>
            <w:vAlign w:val="bottom"/>
          </w:tcPr>
          <w:p>
            <w:pPr>
              <w:ind w:left="120"/>
              <w:spacing w:after="0" w:line="221" w:lineRule="exact"/>
              <w:rPr>
                <w:sz w:val="20"/>
                <w:szCs w:val="20"/>
                <w:color w:val="auto"/>
              </w:rPr>
            </w:pPr>
            <w:r>
              <w:rPr>
                <w:rFonts w:ascii="Arial" w:cs="Arial" w:eastAsia="Arial" w:hAnsi="Arial"/>
                <w:sz w:val="20"/>
                <w:szCs w:val="20"/>
                <w:color w:val="auto"/>
                <w:w w:val="91"/>
              </w:rPr>
              <w:t>as Administrative Agent and Collateral Agent, and the other Loan Parties as of the date thereof (Incorporated</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by reference to the Exhibit 4.43D to the Company's Form 8-K Report filed on October 12, 2021.)</w:t>
            </w:r>
          </w:p>
        </w:tc>
      </w:tr>
      <w:tr>
        <w:trPr>
          <w:trHeight w:val="211"/>
        </w:trPr>
        <w:tc>
          <w:tcPr>
            <w:tcW w:w="640" w:type="dxa"/>
            <w:vAlign w:val="bottom"/>
          </w:tcPr>
          <w:p>
            <w:pPr>
              <w:jc w:val="right"/>
              <w:ind w:right="1"/>
              <w:spacing w:after="0" w:line="211" w:lineRule="exact"/>
              <w:rPr>
                <w:sz w:val="20"/>
                <w:szCs w:val="20"/>
                <w:color w:val="auto"/>
              </w:rPr>
            </w:pPr>
            <w:r>
              <w:rPr>
                <w:rFonts w:ascii="Arial" w:cs="Arial" w:eastAsia="Arial" w:hAnsi="Arial"/>
                <w:sz w:val="20"/>
                <w:szCs w:val="20"/>
                <w:color w:val="auto"/>
              </w:rPr>
              <w:t>10.14</w:t>
            </w:r>
          </w:p>
        </w:tc>
        <w:tc>
          <w:tcPr>
            <w:tcW w:w="8940" w:type="dxa"/>
            <w:vAlign w:val="bottom"/>
          </w:tcPr>
          <w:p>
            <w:pPr>
              <w:ind w:left="120"/>
              <w:spacing w:after="0" w:line="211" w:lineRule="exact"/>
              <w:rPr>
                <w:sz w:val="20"/>
                <w:szCs w:val="20"/>
                <w:color w:val="auto"/>
              </w:rPr>
            </w:pPr>
            <w:r>
              <w:rPr>
                <w:rFonts w:ascii="Arial" w:cs="Arial" w:eastAsia="Arial" w:hAnsi="Arial"/>
                <w:sz w:val="20"/>
                <w:szCs w:val="20"/>
                <w:color w:val="auto"/>
                <w:w w:val="93"/>
              </w:rPr>
              <w:t>Amendment No. 3 to Credit Agreement, dated June 3, 2023, among Clean Harbors, Inc., as Borrower, and</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3"/>
              </w:rPr>
              <w:t>Goldman Sachs Lending Partners LLC, as Administrative Agent and Collateral Agent, to that certain Credit</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88"/>
              </w:rPr>
              <w:t>Agreement dated as of June 30, 2017, as previously amended, among the Financial Institutions party thereto, as</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89"/>
              </w:rPr>
              <w:t>Lenders, Goldman Sachs Lending Partners LLC, as Administrative Agent and Collateral Agent, Clean Harbors,</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2"/>
              </w:rPr>
              <w:t>Inc., as Borrower, and the Loan Guarantors from time to time party thereto (Incorporated by reference to the</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w w:val="92"/>
              </w:rPr>
              <w:t>Exhibit 4.43E to the Company's Form 10-Q Quarterly Report for the Quarterly Period ended June 30, 2023.)</w:t>
            </w:r>
          </w:p>
        </w:tc>
      </w:tr>
      <w:tr>
        <w:trPr>
          <w:trHeight w:val="219"/>
        </w:trPr>
        <w:tc>
          <w:tcPr>
            <w:tcW w:w="640" w:type="dxa"/>
            <w:vAlign w:val="bottom"/>
          </w:tcPr>
          <w:p>
            <w:pPr>
              <w:jc w:val="right"/>
              <w:ind w:right="1"/>
              <w:spacing w:after="0" w:line="219" w:lineRule="exact"/>
              <w:rPr>
                <w:sz w:val="20"/>
                <w:szCs w:val="20"/>
                <w:color w:val="auto"/>
              </w:rPr>
            </w:pPr>
            <w:r>
              <w:rPr>
                <w:rFonts w:ascii="Arial" w:cs="Arial" w:eastAsia="Arial" w:hAnsi="Arial"/>
                <w:sz w:val="20"/>
                <w:szCs w:val="20"/>
                <w:color w:val="auto"/>
              </w:rPr>
              <w:t>10.15</w:t>
            </w:r>
          </w:p>
        </w:tc>
        <w:tc>
          <w:tcPr>
            <w:tcW w:w="8940" w:type="dxa"/>
            <w:vAlign w:val="bottom"/>
          </w:tcPr>
          <w:p>
            <w:pPr>
              <w:ind w:left="120"/>
              <w:spacing w:after="0" w:line="219" w:lineRule="exact"/>
              <w:rPr>
                <w:sz w:val="20"/>
                <w:szCs w:val="20"/>
                <w:color w:val="auto"/>
              </w:rPr>
            </w:pPr>
            <w:r>
              <w:rPr>
                <w:rFonts w:ascii="Arial" w:cs="Arial" w:eastAsia="Arial" w:hAnsi="Arial"/>
                <w:sz w:val="20"/>
                <w:szCs w:val="20"/>
                <w:color w:val="auto"/>
                <w:w w:val="90"/>
              </w:rPr>
              <w:t>Amendment No. 4 to Credit Agreement dated as of December 27, 2023, among the Financial Institutions party</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3"/>
              </w:rPr>
              <w:t>thereto, as Lenders, Goldman Sachs Lending Partners LLC, as Administrative Agent and Collateral Agent,</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2"/>
              </w:rPr>
              <w:t>Clean Harbors, Inc. as Borrower, and the Loan Guarantors from time to time party thereto. (Incorporated by</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reference to the Exhibit 4.43F to the Company's Form 8-K Report filed on December 28, 2023.)</w:t>
            </w:r>
          </w:p>
        </w:tc>
      </w:tr>
      <w:tr>
        <w:trPr>
          <w:trHeight w:val="200"/>
        </w:trPr>
        <w:tc>
          <w:tcPr>
            <w:tcW w:w="640" w:type="dxa"/>
            <w:vAlign w:val="bottom"/>
          </w:tcPr>
          <w:p>
            <w:pPr>
              <w:jc w:val="right"/>
              <w:ind w:right="1"/>
              <w:spacing w:after="0" w:line="200" w:lineRule="exact"/>
              <w:rPr>
                <w:sz w:val="20"/>
                <w:szCs w:val="20"/>
                <w:color w:val="auto"/>
              </w:rPr>
            </w:pPr>
            <w:r>
              <w:rPr>
                <w:rFonts w:ascii="Arial" w:cs="Arial" w:eastAsia="Arial" w:hAnsi="Arial"/>
                <w:sz w:val="20"/>
                <w:szCs w:val="20"/>
                <w:color w:val="auto"/>
              </w:rPr>
              <w:t>10.16</w:t>
            </w:r>
          </w:p>
        </w:tc>
        <w:tc>
          <w:tcPr>
            <w:tcW w:w="8940" w:type="dxa"/>
            <w:vAlign w:val="bottom"/>
          </w:tcPr>
          <w:p>
            <w:pPr>
              <w:ind w:left="120"/>
              <w:spacing w:after="0" w:line="200" w:lineRule="exact"/>
              <w:rPr>
                <w:sz w:val="20"/>
                <w:szCs w:val="20"/>
                <w:color w:val="auto"/>
              </w:rPr>
            </w:pPr>
            <w:r>
              <w:rPr>
                <w:rFonts w:ascii="Arial" w:cs="Arial" w:eastAsia="Arial" w:hAnsi="Arial"/>
                <w:sz w:val="20"/>
                <w:szCs w:val="20"/>
                <w:color w:val="auto"/>
                <w:w w:val="91"/>
              </w:rPr>
              <w:t>Intercreditor Agreement dated as of June 30, 2017, among Clean Harbors, Inc., and the subsidiaries of Clean</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1"/>
              </w:rPr>
              <w:t>Harbors, Inc. listed on the signature pages thereto (together with any subsidiary that becomes a party thereto</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0"/>
              </w:rPr>
              <w:t>after the date thereof), Bank of America, N.A., as the Initial ABL Agent, and Goldman Sachs Lending Partners</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89"/>
              </w:rPr>
              <w:t>LLC, as agent under the Term Loan Agreement (Incorporated by reference to the Exhibit 4.44 to the Company's</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Form 8-K Report filed on June 30, 2017.)</w:t>
            </w:r>
          </w:p>
        </w:tc>
      </w:tr>
      <w:tr>
        <w:trPr>
          <w:trHeight w:val="200"/>
        </w:trPr>
        <w:tc>
          <w:tcPr>
            <w:tcW w:w="640" w:type="dxa"/>
            <w:vAlign w:val="bottom"/>
          </w:tcPr>
          <w:p>
            <w:pPr>
              <w:jc w:val="right"/>
              <w:ind w:right="1"/>
              <w:spacing w:after="0" w:line="200" w:lineRule="exact"/>
              <w:rPr>
                <w:sz w:val="20"/>
                <w:szCs w:val="20"/>
                <w:color w:val="auto"/>
              </w:rPr>
            </w:pPr>
            <w:r>
              <w:rPr>
                <w:rFonts w:ascii="Arial" w:cs="Arial" w:eastAsia="Arial" w:hAnsi="Arial"/>
                <w:sz w:val="20"/>
                <w:szCs w:val="20"/>
                <w:color w:val="auto"/>
                <w:w w:val="89"/>
              </w:rPr>
              <w:t>10.17*</w:t>
            </w:r>
          </w:p>
        </w:tc>
        <w:tc>
          <w:tcPr>
            <w:tcW w:w="8940" w:type="dxa"/>
            <w:vAlign w:val="bottom"/>
          </w:tcPr>
          <w:p>
            <w:pPr>
              <w:ind w:left="120"/>
              <w:spacing w:after="0" w:line="200" w:lineRule="exact"/>
              <w:rPr>
                <w:sz w:val="20"/>
                <w:szCs w:val="20"/>
                <w:color w:val="auto"/>
              </w:rPr>
            </w:pPr>
            <w:r>
              <w:rPr>
                <w:rFonts w:ascii="Arial" w:cs="Arial" w:eastAsia="Arial" w:hAnsi="Arial"/>
                <w:sz w:val="20"/>
                <w:szCs w:val="20"/>
                <w:color w:val="auto"/>
                <w:w w:val="92"/>
              </w:rPr>
              <w:t>Key Employee Retention Plan (Incorporated by reference to the Exhibit 10.43 to the Company's Form 10-Q</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Quarterly Report for the quarterly period ended March 31, 1999.)</w:t>
            </w:r>
          </w:p>
        </w:tc>
      </w:tr>
      <w:tr>
        <w:trPr>
          <w:trHeight w:val="204"/>
        </w:trPr>
        <w:tc>
          <w:tcPr>
            <w:tcW w:w="640" w:type="dxa"/>
            <w:vAlign w:val="bottom"/>
          </w:tcPr>
          <w:p>
            <w:pPr>
              <w:jc w:val="right"/>
              <w:ind w:right="1"/>
              <w:spacing w:after="0" w:line="205" w:lineRule="exact"/>
              <w:rPr>
                <w:sz w:val="20"/>
                <w:szCs w:val="20"/>
                <w:color w:val="auto"/>
              </w:rPr>
            </w:pPr>
            <w:r>
              <w:rPr>
                <w:rFonts w:ascii="Arial" w:cs="Arial" w:eastAsia="Arial" w:hAnsi="Arial"/>
                <w:sz w:val="20"/>
                <w:szCs w:val="20"/>
                <w:color w:val="auto"/>
                <w:w w:val="89"/>
              </w:rPr>
              <w:t>10.18*</w:t>
            </w:r>
          </w:p>
        </w:tc>
        <w:tc>
          <w:tcPr>
            <w:tcW w:w="8940" w:type="dxa"/>
            <w:vAlign w:val="bottom"/>
          </w:tcPr>
          <w:p>
            <w:pPr>
              <w:ind w:left="120"/>
              <w:spacing w:after="0" w:line="205" w:lineRule="exact"/>
              <w:rPr>
                <w:sz w:val="20"/>
                <w:szCs w:val="20"/>
                <w:color w:val="auto"/>
              </w:rPr>
            </w:pPr>
            <w:r>
              <w:rPr>
                <w:rFonts w:ascii="Arial" w:cs="Arial" w:eastAsia="Arial" w:hAnsi="Arial"/>
                <w:sz w:val="20"/>
                <w:szCs w:val="20"/>
                <w:color w:val="auto"/>
                <w:w w:val="90"/>
              </w:rPr>
              <w:t>Form of Severance Agreement under Key Employee Retention Plan with Confidentiality and Non-Competition</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2"/>
              </w:rPr>
              <w:t>Agreement (Incorporated by reference to the Exhibit 10.43A to the Company's Form 10-K Annual Report for</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the Year ended December 31, 2010.)</w:t>
            </w:r>
          </w:p>
        </w:tc>
      </w:tr>
      <w:tr>
        <w:trPr>
          <w:trHeight w:val="230"/>
        </w:trPr>
        <w:tc>
          <w:tcPr>
            <w:tcW w:w="640" w:type="dxa"/>
            <w:vAlign w:val="bottom"/>
          </w:tcPr>
          <w:p>
            <w:pPr>
              <w:jc w:val="right"/>
              <w:ind w:right="1"/>
              <w:spacing w:after="0"/>
              <w:rPr>
                <w:sz w:val="20"/>
                <w:szCs w:val="20"/>
                <w:color w:val="auto"/>
              </w:rPr>
            </w:pPr>
            <w:r>
              <w:rPr>
                <w:rFonts w:ascii="Arial" w:cs="Arial" w:eastAsia="Arial" w:hAnsi="Arial"/>
                <w:sz w:val="20"/>
                <w:szCs w:val="20"/>
                <w:color w:val="auto"/>
                <w:w w:val="89"/>
              </w:rPr>
              <w:t>10.19*</w:t>
            </w:r>
          </w:p>
        </w:tc>
        <w:tc>
          <w:tcPr>
            <w:tcW w:w="8940" w:type="dxa"/>
            <w:vAlign w:val="bottom"/>
          </w:tcPr>
          <w:p>
            <w:pPr>
              <w:ind w:left="120"/>
              <w:spacing w:after="0"/>
              <w:rPr>
                <w:sz w:val="20"/>
                <w:szCs w:val="20"/>
                <w:color w:val="auto"/>
              </w:rPr>
            </w:pPr>
            <w:r>
              <w:rPr>
                <w:rFonts w:ascii="Arial" w:cs="Arial" w:eastAsia="Arial" w:hAnsi="Arial"/>
                <w:sz w:val="20"/>
                <w:szCs w:val="20"/>
                <w:color w:val="auto"/>
                <w:w w:val="97"/>
              </w:rPr>
              <w:t>Clean Harbors, Inc. Amended and Restated Management Incentive Plan (Incorporated by reference to</w:t>
            </w:r>
          </w:p>
        </w:tc>
      </w:tr>
      <w:tr>
        <w:trPr>
          <w:trHeight w:val="221"/>
        </w:trPr>
        <w:tc>
          <w:tcPr>
            <w:tcW w:w="640" w:type="dxa"/>
            <w:vAlign w:val="bottom"/>
          </w:tcPr>
          <w:p>
            <w:pPr>
              <w:spacing w:after="0"/>
              <w:rPr>
                <w:sz w:val="19"/>
                <w:szCs w:val="19"/>
                <w:color w:val="auto"/>
              </w:rPr>
            </w:pPr>
          </w:p>
        </w:tc>
        <w:tc>
          <w:tcPr>
            <w:tcW w:w="8940" w:type="dxa"/>
            <w:vAlign w:val="bottom"/>
          </w:tcPr>
          <w:p>
            <w:pPr>
              <w:ind w:left="120"/>
              <w:spacing w:after="0" w:line="221" w:lineRule="exact"/>
              <w:rPr>
                <w:sz w:val="20"/>
                <w:szCs w:val="20"/>
                <w:color w:val="auto"/>
              </w:rPr>
            </w:pPr>
            <w:r>
              <w:rPr>
                <w:rFonts w:ascii="Arial" w:cs="Arial" w:eastAsia="Arial" w:hAnsi="Arial"/>
                <w:sz w:val="20"/>
                <w:szCs w:val="20"/>
                <w:color w:val="auto"/>
                <w:w w:val="92"/>
              </w:rPr>
              <w:t>Appendix A to the Company’s definitive proxy statement for its 2021 annual meeting of shareholders filed on</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April 23, 2021.)</w:t>
            </w:r>
          </w:p>
        </w:tc>
      </w:tr>
      <w:tr>
        <w:trPr>
          <w:trHeight w:val="205"/>
        </w:trPr>
        <w:tc>
          <w:tcPr>
            <w:tcW w:w="640" w:type="dxa"/>
            <w:vAlign w:val="bottom"/>
          </w:tcPr>
          <w:p>
            <w:pPr>
              <w:jc w:val="right"/>
              <w:ind w:right="1"/>
              <w:spacing w:after="0" w:line="205" w:lineRule="exact"/>
              <w:rPr>
                <w:sz w:val="20"/>
                <w:szCs w:val="20"/>
                <w:color w:val="auto"/>
              </w:rPr>
            </w:pPr>
            <w:r>
              <w:rPr>
                <w:rFonts w:ascii="Arial" w:cs="Arial" w:eastAsia="Arial" w:hAnsi="Arial"/>
                <w:sz w:val="20"/>
                <w:szCs w:val="20"/>
                <w:color w:val="auto"/>
                <w:w w:val="89"/>
              </w:rPr>
              <w:t>10.20*</w:t>
            </w:r>
          </w:p>
        </w:tc>
        <w:tc>
          <w:tcPr>
            <w:tcW w:w="8940" w:type="dxa"/>
            <w:vAlign w:val="bottom"/>
          </w:tcPr>
          <w:p>
            <w:pPr>
              <w:ind w:left="120"/>
              <w:spacing w:after="0" w:line="205" w:lineRule="exact"/>
              <w:rPr>
                <w:sz w:val="20"/>
                <w:szCs w:val="20"/>
                <w:color w:val="auto"/>
              </w:rPr>
            </w:pPr>
            <w:r>
              <w:rPr>
                <w:rFonts w:ascii="Arial" w:cs="Arial" w:eastAsia="Arial" w:hAnsi="Arial"/>
                <w:sz w:val="20"/>
                <w:szCs w:val="20"/>
                <w:color w:val="auto"/>
                <w:w w:val="93"/>
              </w:rPr>
              <w:t>Clean Harbors, Inc. 2020 Stock Incentive Plan (Incorporated by reference to Appendix A to the Company’s</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definitive proxy statement for its 2020 annual meeting of shareholders filed on April 24, 2020.)</w:t>
            </w:r>
          </w:p>
        </w:tc>
      </w:tr>
      <w:tr>
        <w:trPr>
          <w:trHeight w:val="205"/>
        </w:trPr>
        <w:tc>
          <w:tcPr>
            <w:tcW w:w="640" w:type="dxa"/>
            <w:vAlign w:val="bottom"/>
          </w:tcPr>
          <w:p>
            <w:pPr>
              <w:jc w:val="right"/>
              <w:ind w:right="1"/>
              <w:spacing w:after="0" w:line="205" w:lineRule="exact"/>
              <w:rPr>
                <w:sz w:val="20"/>
                <w:szCs w:val="20"/>
                <w:color w:val="auto"/>
              </w:rPr>
            </w:pPr>
            <w:r>
              <w:rPr>
                <w:rFonts w:ascii="Arial" w:cs="Arial" w:eastAsia="Arial" w:hAnsi="Arial"/>
                <w:sz w:val="20"/>
                <w:szCs w:val="20"/>
                <w:color w:val="auto"/>
                <w:w w:val="89"/>
              </w:rPr>
              <w:t>10.21*</w:t>
            </w:r>
          </w:p>
        </w:tc>
        <w:tc>
          <w:tcPr>
            <w:tcW w:w="8940" w:type="dxa"/>
            <w:vAlign w:val="bottom"/>
          </w:tcPr>
          <w:p>
            <w:pPr>
              <w:ind w:left="120"/>
              <w:spacing w:after="0" w:line="205" w:lineRule="exact"/>
              <w:rPr>
                <w:sz w:val="20"/>
                <w:szCs w:val="20"/>
                <w:color w:val="auto"/>
              </w:rPr>
            </w:pPr>
            <w:r>
              <w:rPr>
                <w:rFonts w:ascii="Arial" w:cs="Arial" w:eastAsia="Arial" w:hAnsi="Arial"/>
                <w:sz w:val="20"/>
                <w:szCs w:val="20"/>
                <w:color w:val="auto"/>
                <w:w w:val="94"/>
              </w:rPr>
              <w:t>Form of Restricted Stock Award Agreement [Non-Employee Director] [for use under 2020 Stock Incentive</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4"/>
              </w:rPr>
              <w:t>Plan] (Incorporated by reference to the Exhibit 10.58A to the Company's Form 8-K Report filed on June 3,</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2020.)</w:t>
            </w:r>
          </w:p>
        </w:tc>
      </w:tr>
      <w:tr>
        <w:trPr>
          <w:trHeight w:val="209"/>
        </w:trPr>
        <w:tc>
          <w:tcPr>
            <w:tcW w:w="640" w:type="dxa"/>
            <w:vAlign w:val="bottom"/>
          </w:tcPr>
          <w:p>
            <w:pPr>
              <w:jc w:val="right"/>
              <w:ind w:right="1"/>
              <w:spacing w:after="0" w:line="209" w:lineRule="exact"/>
              <w:rPr>
                <w:sz w:val="20"/>
                <w:szCs w:val="20"/>
                <w:color w:val="auto"/>
              </w:rPr>
            </w:pPr>
            <w:r>
              <w:rPr>
                <w:rFonts w:ascii="Arial" w:cs="Arial" w:eastAsia="Arial" w:hAnsi="Arial"/>
                <w:sz w:val="20"/>
                <w:szCs w:val="20"/>
                <w:color w:val="auto"/>
                <w:w w:val="89"/>
              </w:rPr>
              <w:t>10.22*</w:t>
            </w:r>
          </w:p>
        </w:tc>
        <w:tc>
          <w:tcPr>
            <w:tcW w:w="8940" w:type="dxa"/>
            <w:vAlign w:val="bottom"/>
          </w:tcPr>
          <w:p>
            <w:pPr>
              <w:ind w:left="120"/>
              <w:spacing w:after="0" w:line="209" w:lineRule="exact"/>
              <w:rPr>
                <w:sz w:val="20"/>
                <w:szCs w:val="20"/>
                <w:color w:val="auto"/>
              </w:rPr>
            </w:pPr>
            <w:r>
              <w:rPr>
                <w:rFonts w:ascii="Arial" w:cs="Arial" w:eastAsia="Arial" w:hAnsi="Arial"/>
                <w:sz w:val="20"/>
                <w:szCs w:val="20"/>
                <w:color w:val="auto"/>
                <w:w w:val="97"/>
              </w:rPr>
              <w:t>Form of Restricted Stock Award Agreement [Employee] [for use under Clean Harbors, Inc. 2020 Stock</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2"/>
              </w:rPr>
              <w:t>Incentive Plan] (Incorporated by reference to the Exhibit 10.58B to the Company's Form 8-K Report filed on</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June 3, 2020.)</w:t>
            </w:r>
          </w:p>
        </w:tc>
      </w:tr>
      <w:tr>
        <w:trPr>
          <w:trHeight w:val="209"/>
        </w:trPr>
        <w:tc>
          <w:tcPr>
            <w:tcW w:w="640" w:type="dxa"/>
            <w:vAlign w:val="bottom"/>
          </w:tcPr>
          <w:p>
            <w:pPr>
              <w:jc w:val="right"/>
              <w:ind w:right="1"/>
              <w:spacing w:after="0" w:line="209" w:lineRule="exact"/>
              <w:rPr>
                <w:sz w:val="20"/>
                <w:szCs w:val="20"/>
                <w:color w:val="auto"/>
              </w:rPr>
            </w:pPr>
            <w:r>
              <w:rPr>
                <w:rFonts w:ascii="Arial" w:cs="Arial" w:eastAsia="Arial" w:hAnsi="Arial"/>
                <w:sz w:val="20"/>
                <w:szCs w:val="20"/>
                <w:color w:val="auto"/>
                <w:w w:val="89"/>
              </w:rPr>
              <w:t>10.23*</w:t>
            </w:r>
          </w:p>
        </w:tc>
        <w:tc>
          <w:tcPr>
            <w:tcW w:w="8940" w:type="dxa"/>
            <w:vAlign w:val="bottom"/>
          </w:tcPr>
          <w:p>
            <w:pPr>
              <w:ind w:left="120"/>
              <w:spacing w:after="0" w:line="209" w:lineRule="exact"/>
              <w:rPr>
                <w:sz w:val="20"/>
                <w:szCs w:val="20"/>
                <w:color w:val="auto"/>
              </w:rPr>
            </w:pPr>
            <w:r>
              <w:rPr>
                <w:rFonts w:ascii="Arial" w:cs="Arial" w:eastAsia="Arial" w:hAnsi="Arial"/>
                <w:sz w:val="20"/>
                <w:szCs w:val="20"/>
                <w:color w:val="auto"/>
                <w:w w:val="89"/>
              </w:rPr>
              <w:t>Form of Performance-Based Restricted Stock Award Agreement [for use under Clean Harbors, Inc. 2020 Stock</w:t>
            </w:r>
          </w:p>
        </w:tc>
      </w:tr>
      <w:tr>
        <w:trPr>
          <w:trHeight w:val="197"/>
        </w:trPr>
        <w:tc>
          <w:tcPr>
            <w:tcW w:w="640" w:type="dxa"/>
            <w:vAlign w:val="bottom"/>
          </w:tcPr>
          <w:p>
            <w:pPr>
              <w:spacing w:after="0"/>
              <w:rPr>
                <w:sz w:val="17"/>
                <w:szCs w:val="17"/>
                <w:color w:val="auto"/>
              </w:rPr>
            </w:pPr>
          </w:p>
        </w:tc>
        <w:tc>
          <w:tcPr>
            <w:tcW w:w="8940" w:type="dxa"/>
            <w:vAlign w:val="bottom"/>
          </w:tcPr>
          <w:p>
            <w:pPr>
              <w:ind w:left="120"/>
              <w:spacing w:after="0" w:line="197" w:lineRule="exact"/>
              <w:rPr>
                <w:sz w:val="20"/>
                <w:szCs w:val="20"/>
                <w:color w:val="auto"/>
              </w:rPr>
            </w:pPr>
            <w:r>
              <w:rPr>
                <w:rFonts w:ascii="Arial" w:cs="Arial" w:eastAsia="Arial" w:hAnsi="Arial"/>
                <w:sz w:val="20"/>
                <w:szCs w:val="20"/>
                <w:color w:val="auto"/>
                <w:w w:val="92"/>
              </w:rPr>
              <w:t>Incentive Plan] (Incorporated by reference to the Exhibit 10.58C to the Company's Form 8-K Report filed on</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June 3, 2020.)</w:t>
            </w:r>
          </w:p>
        </w:tc>
      </w:tr>
      <w:tr>
        <w:trPr>
          <w:trHeight w:val="205"/>
        </w:trPr>
        <w:tc>
          <w:tcPr>
            <w:tcW w:w="640" w:type="dxa"/>
            <w:vAlign w:val="bottom"/>
          </w:tcPr>
          <w:p>
            <w:pPr>
              <w:jc w:val="right"/>
              <w:ind w:right="1"/>
              <w:spacing w:after="0" w:line="205" w:lineRule="exact"/>
              <w:rPr>
                <w:sz w:val="20"/>
                <w:szCs w:val="20"/>
                <w:color w:val="auto"/>
              </w:rPr>
            </w:pPr>
            <w:r>
              <w:rPr>
                <w:rFonts w:ascii="Arial" w:cs="Arial" w:eastAsia="Arial" w:hAnsi="Arial"/>
                <w:sz w:val="20"/>
                <w:szCs w:val="20"/>
                <w:color w:val="auto"/>
                <w:w w:val="89"/>
              </w:rPr>
              <w:t>10.24*</w:t>
            </w:r>
          </w:p>
        </w:tc>
        <w:tc>
          <w:tcPr>
            <w:tcW w:w="8940" w:type="dxa"/>
            <w:vAlign w:val="bottom"/>
          </w:tcPr>
          <w:p>
            <w:pPr>
              <w:ind w:left="120"/>
              <w:spacing w:after="0" w:line="205" w:lineRule="exact"/>
              <w:rPr>
                <w:sz w:val="20"/>
                <w:szCs w:val="20"/>
                <w:color w:val="auto"/>
              </w:rPr>
            </w:pPr>
            <w:r>
              <w:rPr>
                <w:rFonts w:ascii="Arial" w:cs="Arial" w:eastAsia="Arial" w:hAnsi="Arial"/>
                <w:sz w:val="20"/>
                <w:szCs w:val="20"/>
                <w:color w:val="auto"/>
                <w:w w:val="93"/>
              </w:rPr>
              <w:t>Michael Battles Offer Letter dated November 1, 2022 (Incorporated by reference to the Exhibit 10.59 to the</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Company's Form 8-K Report filed on November 2, 2022.)</w:t>
            </w:r>
          </w:p>
        </w:tc>
      </w:tr>
      <w:tr>
        <w:trPr>
          <w:trHeight w:val="200"/>
        </w:trPr>
        <w:tc>
          <w:tcPr>
            <w:tcW w:w="640" w:type="dxa"/>
            <w:vAlign w:val="bottom"/>
          </w:tcPr>
          <w:p>
            <w:pPr>
              <w:jc w:val="right"/>
              <w:ind w:right="1"/>
              <w:spacing w:after="0" w:line="200" w:lineRule="exact"/>
              <w:rPr>
                <w:sz w:val="20"/>
                <w:szCs w:val="20"/>
                <w:color w:val="auto"/>
              </w:rPr>
            </w:pPr>
            <w:r>
              <w:rPr>
                <w:rFonts w:ascii="Arial" w:cs="Arial" w:eastAsia="Arial" w:hAnsi="Arial"/>
                <w:sz w:val="20"/>
                <w:szCs w:val="20"/>
                <w:color w:val="auto"/>
                <w:w w:val="89"/>
              </w:rPr>
              <w:t>10.25*</w:t>
            </w:r>
          </w:p>
        </w:tc>
        <w:tc>
          <w:tcPr>
            <w:tcW w:w="8940" w:type="dxa"/>
            <w:vAlign w:val="bottom"/>
          </w:tcPr>
          <w:p>
            <w:pPr>
              <w:ind w:left="120"/>
              <w:spacing w:after="0" w:line="200" w:lineRule="exact"/>
              <w:rPr>
                <w:sz w:val="20"/>
                <w:szCs w:val="20"/>
                <w:color w:val="auto"/>
              </w:rPr>
            </w:pPr>
            <w:r>
              <w:rPr>
                <w:rFonts w:ascii="Arial" w:cs="Arial" w:eastAsia="Arial" w:hAnsi="Arial"/>
                <w:sz w:val="20"/>
                <w:szCs w:val="20"/>
                <w:color w:val="auto"/>
                <w:w w:val="89"/>
              </w:rPr>
              <w:t>Severance Agreement dated as of November 1, 2022 between Michael Battles and the Company (Incorporated</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by reference to the Exhibit 10.60 to the Company's Form 8-K Report filed on November 2, 2022.)</w:t>
            </w:r>
          </w:p>
        </w:tc>
      </w:tr>
      <w:tr>
        <w:trPr>
          <w:trHeight w:val="200"/>
        </w:trPr>
        <w:tc>
          <w:tcPr>
            <w:tcW w:w="640" w:type="dxa"/>
            <w:vAlign w:val="bottom"/>
          </w:tcPr>
          <w:p>
            <w:pPr>
              <w:jc w:val="right"/>
              <w:ind w:right="1"/>
              <w:spacing w:after="0" w:line="200" w:lineRule="exact"/>
              <w:rPr>
                <w:sz w:val="20"/>
                <w:szCs w:val="20"/>
                <w:color w:val="auto"/>
              </w:rPr>
            </w:pPr>
            <w:r>
              <w:rPr>
                <w:rFonts w:ascii="Arial" w:cs="Arial" w:eastAsia="Arial" w:hAnsi="Arial"/>
                <w:sz w:val="20"/>
                <w:szCs w:val="20"/>
                <w:color w:val="auto"/>
                <w:w w:val="89"/>
              </w:rPr>
              <w:t>10.26*</w:t>
            </w:r>
          </w:p>
        </w:tc>
        <w:tc>
          <w:tcPr>
            <w:tcW w:w="8940" w:type="dxa"/>
            <w:vAlign w:val="bottom"/>
          </w:tcPr>
          <w:p>
            <w:pPr>
              <w:ind w:left="120"/>
              <w:spacing w:after="0" w:line="200" w:lineRule="exact"/>
              <w:rPr>
                <w:sz w:val="20"/>
                <w:szCs w:val="20"/>
                <w:color w:val="auto"/>
              </w:rPr>
            </w:pPr>
            <w:r>
              <w:rPr>
                <w:rFonts w:ascii="Arial" w:cs="Arial" w:eastAsia="Arial" w:hAnsi="Arial"/>
                <w:sz w:val="20"/>
                <w:szCs w:val="20"/>
                <w:color w:val="auto"/>
                <w:w w:val="91"/>
              </w:rPr>
              <w:t>Eric Gerstenberg Offer Letter dated November 1, 2022 (Incorporated by reference to the Exhibit 10.61 to the</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Company's Form 8-K Report filed on November 2, 2022.)</w:t>
            </w:r>
          </w:p>
        </w:tc>
      </w:tr>
      <w:tr>
        <w:trPr>
          <w:trHeight w:val="200"/>
        </w:trPr>
        <w:tc>
          <w:tcPr>
            <w:tcW w:w="640" w:type="dxa"/>
            <w:vAlign w:val="bottom"/>
          </w:tcPr>
          <w:p>
            <w:pPr>
              <w:jc w:val="right"/>
              <w:ind w:right="1"/>
              <w:spacing w:after="0" w:line="200" w:lineRule="exact"/>
              <w:rPr>
                <w:sz w:val="20"/>
                <w:szCs w:val="20"/>
                <w:color w:val="auto"/>
              </w:rPr>
            </w:pPr>
            <w:r>
              <w:rPr>
                <w:rFonts w:ascii="Arial" w:cs="Arial" w:eastAsia="Arial" w:hAnsi="Arial"/>
                <w:sz w:val="20"/>
                <w:szCs w:val="20"/>
                <w:color w:val="auto"/>
                <w:w w:val="89"/>
              </w:rPr>
              <w:t>10.27*</w:t>
            </w:r>
          </w:p>
        </w:tc>
        <w:tc>
          <w:tcPr>
            <w:tcW w:w="8940" w:type="dxa"/>
            <w:vAlign w:val="bottom"/>
          </w:tcPr>
          <w:p>
            <w:pPr>
              <w:ind w:left="120"/>
              <w:spacing w:after="0" w:line="200" w:lineRule="exact"/>
              <w:rPr>
                <w:sz w:val="20"/>
                <w:szCs w:val="20"/>
                <w:color w:val="auto"/>
              </w:rPr>
            </w:pPr>
            <w:r>
              <w:rPr>
                <w:rFonts w:ascii="Arial" w:cs="Arial" w:eastAsia="Arial" w:hAnsi="Arial"/>
                <w:sz w:val="20"/>
                <w:szCs w:val="20"/>
                <w:color w:val="auto"/>
                <w:w w:val="88"/>
              </w:rPr>
              <w:t>Severance Agreement dated as of November 1, 2022 between Eric Gerstenberg and the Company (Incorporated</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by reference to the Exhibit 10.62 to the Company's Form 8-K Report filed on November 2, 2022.)</w:t>
            </w:r>
          </w:p>
        </w:tc>
      </w:tr>
      <w:tr>
        <w:trPr>
          <w:trHeight w:val="200"/>
        </w:trPr>
        <w:tc>
          <w:tcPr>
            <w:tcW w:w="640" w:type="dxa"/>
            <w:vAlign w:val="bottom"/>
          </w:tcPr>
          <w:p>
            <w:pPr>
              <w:jc w:val="right"/>
              <w:ind w:right="1"/>
              <w:spacing w:after="0" w:line="200" w:lineRule="exact"/>
              <w:rPr>
                <w:sz w:val="20"/>
                <w:szCs w:val="20"/>
                <w:color w:val="auto"/>
              </w:rPr>
            </w:pPr>
            <w:r>
              <w:rPr>
                <w:rFonts w:ascii="Arial" w:cs="Arial" w:eastAsia="Arial" w:hAnsi="Arial"/>
                <w:sz w:val="20"/>
                <w:szCs w:val="20"/>
                <w:color w:val="auto"/>
                <w:w w:val="89"/>
              </w:rPr>
              <w:t>10.28*</w:t>
            </w:r>
          </w:p>
        </w:tc>
        <w:tc>
          <w:tcPr>
            <w:tcW w:w="8940" w:type="dxa"/>
            <w:vAlign w:val="bottom"/>
          </w:tcPr>
          <w:p>
            <w:pPr>
              <w:ind w:left="120"/>
              <w:spacing w:after="0" w:line="200" w:lineRule="exact"/>
              <w:rPr>
                <w:sz w:val="20"/>
                <w:szCs w:val="20"/>
                <w:color w:val="auto"/>
              </w:rPr>
            </w:pPr>
            <w:r>
              <w:rPr>
                <w:rFonts w:ascii="Arial" w:cs="Arial" w:eastAsia="Arial" w:hAnsi="Arial"/>
                <w:sz w:val="20"/>
                <w:szCs w:val="20"/>
                <w:color w:val="auto"/>
                <w:w w:val="96"/>
              </w:rPr>
              <w:t>Alan McKim Offer Letter dated November 1, 2022 (Incorporated by reference to the Exhibit 10.63 to the</w:t>
            </w:r>
          </w:p>
        </w:tc>
      </w:tr>
      <w:tr>
        <w:trPr>
          <w:trHeight w:val="258"/>
        </w:trPr>
        <w:tc>
          <w:tcPr>
            <w:tcW w:w="640" w:type="dxa"/>
            <w:vAlign w:val="bottom"/>
          </w:tcPr>
          <w:p>
            <w:pPr>
              <w:spacing w:after="0"/>
              <w:rPr>
                <w:sz w:val="22"/>
                <w:szCs w:val="22"/>
                <w:color w:val="auto"/>
              </w:rPr>
            </w:pPr>
          </w:p>
        </w:tc>
        <w:tc>
          <w:tcPr>
            <w:tcW w:w="8940" w:type="dxa"/>
            <w:vAlign w:val="bottom"/>
          </w:tcPr>
          <w:p>
            <w:pPr>
              <w:ind w:left="120"/>
              <w:spacing w:after="0"/>
              <w:rPr>
                <w:sz w:val="20"/>
                <w:szCs w:val="20"/>
                <w:color w:val="auto"/>
              </w:rPr>
            </w:pPr>
            <w:r>
              <w:rPr>
                <w:rFonts w:ascii="Arial" w:cs="Arial" w:eastAsia="Arial" w:hAnsi="Arial"/>
                <w:sz w:val="20"/>
                <w:szCs w:val="20"/>
                <w:color w:val="auto"/>
              </w:rPr>
              <w:t>Company's Form 8-K Report filed on November 2, 2022.)</w:t>
            </w:r>
          </w:p>
        </w:tc>
      </w:tr>
    </w:tbl>
    <w:p>
      <w:pPr>
        <w:spacing w:after="0" w:line="200" w:lineRule="exact"/>
        <w:rPr>
          <w:sz w:val="20"/>
          <w:szCs w:val="20"/>
          <w:color w:val="auto"/>
        </w:rPr>
      </w:pPr>
    </w:p>
    <w:p>
      <w:pPr>
        <w:sectPr>
          <w:pgSz w:w="11880" w:h="15480" w:orient="portrait"/>
          <w:cols w:equalWidth="0" w:num="1">
            <w:col w:w="9580"/>
          </w:cols>
          <w:pgMar w:left="1300" w:top="615" w:right="100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9580"/>
          </w:cols>
          <w:pgMar w:left="1300" w:top="615" w:right="1000" w:bottom="0" w:gutter="0" w:footer="0" w:header="0"/>
          <w:type w:val="continuous"/>
        </w:sectPr>
      </w:pPr>
    </w:p>
    <w:bookmarkStart w:id="108" w:name="page109"/>
    <w:bookmarkEnd w:id="108"/>
    <w:p>
      <w:pPr>
        <w:ind w:left="1180" w:right="540" w:hanging="763"/>
        <w:spacing w:after="0" w:line="237" w:lineRule="auto"/>
        <w:tabs>
          <w:tab w:leader="none" w:pos="1160" w:val="left"/>
        </w:tabs>
        <w:rPr>
          <w:sz w:val="20"/>
          <w:szCs w:val="20"/>
          <w:color w:val="auto"/>
        </w:rPr>
      </w:pPr>
      <w:r>
        <w:rPr>
          <w:rFonts w:ascii="Arial" w:cs="Arial" w:eastAsia="Arial" w:hAnsi="Arial"/>
          <w:sz w:val="20"/>
          <w:szCs w:val="20"/>
          <w:color w:val="auto"/>
        </w:rPr>
        <w:t>10.29*</w:t>
        <w:tab/>
        <w:t>Eric J. Dugas Offer Letter dated February 24, 2023 (Incorporated by reference to the Exhibit 10.64 to the Company's Form 8-K Report filed on March 1, 2023.)</w:t>
      </w:r>
    </w:p>
    <w:p>
      <w:pPr>
        <w:spacing w:after="0" w:line="4" w:lineRule="exact"/>
        <w:rPr>
          <w:sz w:val="20"/>
          <w:szCs w:val="20"/>
          <w:color w:val="auto"/>
        </w:rPr>
      </w:pPr>
    </w:p>
    <w:p>
      <w:pPr>
        <w:ind w:left="1180" w:right="600" w:hanging="763"/>
        <w:spacing w:after="0" w:line="237" w:lineRule="auto"/>
        <w:tabs>
          <w:tab w:leader="none" w:pos="1160" w:val="left"/>
        </w:tabs>
        <w:rPr>
          <w:sz w:val="20"/>
          <w:szCs w:val="20"/>
          <w:color w:val="auto"/>
        </w:rPr>
      </w:pPr>
      <w:r>
        <w:rPr>
          <w:rFonts w:ascii="Arial" w:cs="Arial" w:eastAsia="Arial" w:hAnsi="Arial"/>
          <w:sz w:val="20"/>
          <w:szCs w:val="20"/>
          <w:color w:val="auto"/>
        </w:rPr>
        <w:t>10.30*</w:t>
        <w:tab/>
        <w:t>Brian Weber Offer Letter dated February 24, 2023 (Incorporated by reference to the Exhibit 10.65 to the Company's Form 8-K Report filed on March 1, 2023.)</w:t>
      </w:r>
    </w:p>
    <w:p>
      <w:pPr>
        <w:spacing w:after="0" w:line="4" w:lineRule="exact"/>
        <w:rPr>
          <w:sz w:val="20"/>
          <w:szCs w:val="20"/>
          <w:color w:val="auto"/>
        </w:rPr>
      </w:pPr>
    </w:p>
    <w:p>
      <w:pPr>
        <w:ind w:left="1180" w:right="20" w:hanging="693"/>
        <w:spacing w:after="0" w:line="243" w:lineRule="auto"/>
        <w:tabs>
          <w:tab w:leader="none" w:pos="1160" w:val="left"/>
        </w:tabs>
        <w:rPr>
          <w:sz w:val="20"/>
          <w:szCs w:val="20"/>
          <w:color w:val="auto"/>
        </w:rPr>
      </w:pPr>
      <w:r>
        <w:rPr>
          <w:rFonts w:ascii="Arial" w:cs="Arial" w:eastAsia="Arial" w:hAnsi="Arial"/>
          <w:sz w:val="20"/>
          <w:szCs w:val="20"/>
          <w:color w:val="auto"/>
        </w:rPr>
        <w:t>10.31</w:t>
      </w:r>
      <w:r>
        <w:rPr>
          <w:sz w:val="20"/>
          <w:szCs w:val="20"/>
          <w:color w:val="auto"/>
        </w:rPr>
        <w:tab/>
      </w:r>
      <w:r>
        <w:rPr>
          <w:rFonts w:ascii="Arial" w:cs="Arial" w:eastAsia="Arial" w:hAnsi="Arial"/>
          <w:sz w:val="18"/>
          <w:szCs w:val="18"/>
          <w:color w:val="auto"/>
        </w:rPr>
        <w:t>Incremental Facility Amendment No. 5 to Credit Agreement, dated as of March 22, 2024, to Credit Agreement dated as of June 30, 2017, as previously amended, among Clean Harbors, Inc., as the Borrower, each of the entities listed as an Incremental Lender on the signature pages thereto, Goldman Sachs Lending Partners LLC, as administrative agent and collateral agent, and the other Loan Parties party thereto. (Incorporated by reference to Exhibit 4.43G to the Company's Current Report on Form 8-K filed on March 25, 2024.)</w:t>
      </w:r>
    </w:p>
    <w:p>
      <w:pPr>
        <w:spacing w:after="0" w:line="1" w:lineRule="exact"/>
        <w:rPr>
          <w:sz w:val="20"/>
          <w:szCs w:val="20"/>
          <w:color w:val="auto"/>
        </w:rPr>
      </w:pPr>
    </w:p>
    <w:p>
      <w:pPr>
        <w:ind w:left="1180" w:right="60" w:hanging="693"/>
        <w:spacing w:after="0" w:line="218" w:lineRule="auto"/>
        <w:tabs>
          <w:tab w:leader="none" w:pos="1160" w:val="left"/>
        </w:tabs>
        <w:rPr>
          <w:sz w:val="20"/>
          <w:szCs w:val="20"/>
          <w:color w:val="auto"/>
        </w:rPr>
      </w:pPr>
      <w:r>
        <w:rPr>
          <w:rFonts w:ascii="Arial" w:cs="Arial" w:eastAsia="Arial" w:hAnsi="Arial"/>
          <w:sz w:val="20"/>
          <w:szCs w:val="20"/>
          <w:color w:val="auto"/>
        </w:rPr>
        <w:t>10.32</w:t>
        <w:tab/>
        <w:t>Second Amendment, dated as of March 22, 2024 to Sixth Amended and Restated Credit Agreement dated as of October 28, 2020, as amended, among Clean Harbors, Inc., as the U.S. Borrower, Clean Harbors Industrial Services Canada, Inc., as the Canadian Borrower, Bank of America, N.A., as Administrative Agent and the Lenders party thereto. (Incorporated by reference to Exhibit 4.34 3 to the Company's Current Report on Form 8-K filed on March 25, 2024.)</w:t>
      </w:r>
    </w:p>
    <w:p>
      <w:pPr>
        <w:spacing w:after="0" w:line="5" w:lineRule="exact"/>
        <w:rPr>
          <w:sz w:val="20"/>
          <w:szCs w:val="20"/>
          <w:color w:val="auto"/>
        </w:rPr>
      </w:pPr>
    </w:p>
    <w:p>
      <w:pPr>
        <w:ind w:left="1180" w:hanging="693"/>
        <w:spacing w:after="0" w:line="233" w:lineRule="auto"/>
        <w:tabs>
          <w:tab w:leader="none" w:pos="1160" w:val="left"/>
        </w:tabs>
        <w:rPr>
          <w:sz w:val="20"/>
          <w:szCs w:val="20"/>
          <w:color w:val="auto"/>
        </w:rPr>
      </w:pPr>
      <w:r>
        <w:rPr>
          <w:rFonts w:ascii="Arial" w:cs="Arial" w:eastAsia="Arial" w:hAnsi="Arial"/>
          <w:sz w:val="20"/>
          <w:szCs w:val="20"/>
          <w:color w:val="auto"/>
        </w:rPr>
        <w:t>10.33</w:t>
      </w:r>
      <w:r>
        <w:rPr>
          <w:sz w:val="20"/>
          <w:szCs w:val="20"/>
          <w:color w:val="auto"/>
        </w:rPr>
        <w:tab/>
      </w:r>
      <w:r>
        <w:rPr>
          <w:rFonts w:ascii="Arial" w:cs="Arial" w:eastAsia="Arial" w:hAnsi="Arial"/>
          <w:sz w:val="19"/>
          <w:szCs w:val="19"/>
          <w:color w:val="auto"/>
        </w:rPr>
        <w:t>Seventh Amended and Restated Credit Agreement dated as of June 28, 2024 among Clean Harbors, Inc., as the U.S. Borrower, Clean Harbors Industrial Services Canada, Inc., as the Canadian Borrower, Bank of America, N.A., as Administrative Agent, and the Lenders party thereto (Incorporated by reference to Exhibit 4.43.3 to the Company’s Current Report on Form 8-K filed on July 2, 2024.)</w:t>
      </w:r>
    </w:p>
    <w:p>
      <w:pPr>
        <w:spacing w:after="0" w:line="23" w:lineRule="exact"/>
        <w:rPr>
          <w:sz w:val="20"/>
          <w:szCs w:val="20"/>
          <w:color w:val="auto"/>
        </w:rPr>
      </w:pPr>
    </w:p>
    <w:p>
      <w:pPr>
        <w:ind w:left="1180" w:right="80" w:hanging="693"/>
        <w:spacing w:after="0" w:line="216" w:lineRule="auto"/>
        <w:tabs>
          <w:tab w:leader="none" w:pos="1160" w:val="left"/>
        </w:tabs>
        <w:rPr>
          <w:sz w:val="20"/>
          <w:szCs w:val="20"/>
          <w:color w:val="auto"/>
        </w:rPr>
      </w:pPr>
      <w:r>
        <w:rPr>
          <w:rFonts w:ascii="Arial" w:cs="Arial" w:eastAsia="Arial" w:hAnsi="Arial"/>
          <w:sz w:val="20"/>
          <w:szCs w:val="20"/>
          <w:color w:val="auto"/>
        </w:rPr>
        <w:t>10.34</w:t>
        <w:tab/>
        <w:t>Second Amended and Restated Confirmation and Ratification of Ancillary Loan Documents dated as of June 28, 2024 among Clean Harbors, Inc., as the U.S. Borrower, Clean Harbors Industrial Services Canada, Inc., as the Canadian Borrower, the subsidiaries of Clean Harbors, Inc. listed on Annex A thereto or that thereafter become a party thereto as Grantors, and Bank of America, N.A., as Agent for its own benefit and the benefit of the other Lenders and Credit Parties (Incorporated by reference to Exhibit 4.43I to the Company’s Current Report on Form 8-K filed on July 2, 2024.)</w:t>
      </w:r>
    </w:p>
    <w:p>
      <w:pPr>
        <w:spacing w:after="0" w:line="14" w:lineRule="exact"/>
        <w:rPr>
          <w:sz w:val="20"/>
          <w:szCs w:val="20"/>
          <w:color w:val="auto"/>
        </w:rPr>
      </w:pPr>
    </w:p>
    <w:p>
      <w:pPr>
        <w:ind w:left="1180" w:right="260" w:hanging="763"/>
        <w:spacing w:after="0" w:line="237" w:lineRule="auto"/>
        <w:tabs>
          <w:tab w:leader="none" w:pos="1160" w:val="left"/>
        </w:tabs>
        <w:rPr>
          <w:sz w:val="20"/>
          <w:szCs w:val="20"/>
          <w:color w:val="auto"/>
        </w:rPr>
      </w:pPr>
      <w:r>
        <w:rPr>
          <w:rFonts w:ascii="Arial" w:cs="Arial" w:eastAsia="Arial" w:hAnsi="Arial"/>
          <w:sz w:val="20"/>
          <w:szCs w:val="20"/>
          <w:color w:val="auto"/>
        </w:rPr>
        <w:t>10.35*</w:t>
        <w:tab/>
        <w:t>Clean Harbors Employee Stock Purchase Plan (Incorporated by reference to Exhibit 10.66 to the Company’s Current Report on Form 8-K filed on May 23, 2024.)</w:t>
      </w:r>
    </w:p>
    <w:p>
      <w:pPr>
        <w:spacing w:after="0" w:line="4" w:lineRule="exact"/>
        <w:rPr>
          <w:sz w:val="20"/>
          <w:szCs w:val="20"/>
          <w:color w:val="auto"/>
        </w:rPr>
      </w:pPr>
    </w:p>
    <w:p>
      <w:pPr>
        <w:jc w:val="both"/>
        <w:ind w:left="1180" w:right="320" w:hanging="693"/>
        <w:spacing w:after="0" w:line="248" w:lineRule="auto"/>
        <w:tabs>
          <w:tab w:leader="none" w:pos="1160" w:val="left"/>
        </w:tabs>
        <w:rPr>
          <w:sz w:val="20"/>
          <w:szCs w:val="20"/>
          <w:color w:val="auto"/>
        </w:rPr>
      </w:pPr>
      <w:r>
        <w:rPr>
          <w:rFonts w:ascii="Arial" w:cs="Arial" w:eastAsia="Arial" w:hAnsi="Arial"/>
          <w:sz w:val="20"/>
          <w:szCs w:val="20"/>
          <w:color w:val="auto"/>
        </w:rPr>
        <w:t>10.36</w:t>
      </w:r>
      <w:r>
        <w:rPr>
          <w:sz w:val="20"/>
          <w:szCs w:val="20"/>
          <w:color w:val="auto"/>
        </w:rPr>
        <w:tab/>
      </w:r>
      <w:r>
        <w:rPr>
          <w:rFonts w:ascii="Arial" w:cs="Arial" w:eastAsia="Arial" w:hAnsi="Arial"/>
          <w:sz w:val="18"/>
          <w:szCs w:val="18"/>
          <w:color w:val="auto"/>
        </w:rPr>
        <w:t>Amendment No. 6 to Credit Agreement dated as of October 8, 2024, among the Financial Institutions party thereto, as Lenders, Goldman Sachs Lending Partners LLC, as Administrative Agent and Collateral Agent, Clean Harbors, Inc., as Borrower, and the Loan Guarantors from time to time party thereto (Incorporated by reference to Exhibit 4.43H to the Company’s Current Report on Form 8-K filed on October 11, 2024.)</w:t>
      </w:r>
    </w:p>
    <w:p>
      <w:pPr>
        <w:spacing w:after="0" w:line="17" w:lineRule="exact"/>
        <w:rPr>
          <w:sz w:val="20"/>
          <w:szCs w:val="20"/>
          <w:color w:val="auto"/>
        </w:rPr>
      </w:pPr>
    </w:p>
    <w:p>
      <w:pPr>
        <w:ind w:left="1180" w:right="240" w:hanging="453"/>
        <w:spacing w:after="0" w:line="237" w:lineRule="auto"/>
        <w:tabs>
          <w:tab w:leader="none" w:pos="11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Insider Trading Policy (Incorporated by reference to Exhibit 19 to the Company’s Form 10-K Annual Report for the Year ended December 31, 2023.)</w:t>
      </w:r>
    </w:p>
    <w:p>
      <w:pPr>
        <w:spacing w:after="0" w:line="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21+</w:t>
        <w:tab/>
        <w:t>Subsidiaries of Clean Harbors, Inc.</w:t>
      </w:r>
    </w:p>
    <w:p>
      <w:pPr>
        <w:spacing w:after="0" w:line="5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23+</w:t>
        <w:tab/>
        <w:t>Consent of Independent Registered Public Accounting Firm</w:t>
      </w:r>
    </w:p>
    <w:p>
      <w:pPr>
        <w:spacing w:after="0" w:line="5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24+</w:t>
        <w:tab/>
        <w:t>Power of Attorney</w:t>
      </w:r>
    </w:p>
    <w:p>
      <w:pPr>
        <w:spacing w:after="0" w:line="51" w:lineRule="exact"/>
        <w:rPr>
          <w:sz w:val="20"/>
          <w:szCs w:val="20"/>
          <w:color w:val="auto"/>
        </w:rPr>
      </w:pPr>
    </w:p>
    <w:p>
      <w:pPr>
        <w:ind w:left="500"/>
        <w:spacing w:after="0"/>
        <w:tabs>
          <w:tab w:leader="none" w:pos="116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color w:val="auto"/>
        </w:rPr>
        <w:t>Rule 13a-14a/15d-14(a) Certification of the Co-CEO Michael L. Battles</w:t>
      </w:r>
    </w:p>
    <w:p>
      <w:pPr>
        <w:spacing w:after="0" w:line="51" w:lineRule="exact"/>
        <w:rPr>
          <w:sz w:val="20"/>
          <w:szCs w:val="20"/>
          <w:color w:val="auto"/>
        </w:rPr>
      </w:pPr>
    </w:p>
    <w:p>
      <w:pPr>
        <w:ind w:left="500"/>
        <w:spacing w:after="0"/>
        <w:tabs>
          <w:tab w:leader="none" w:pos="116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color w:val="auto"/>
        </w:rPr>
        <w:t>Rule 13a-14a/15d-14(a) Certification of the Co-CEO Eric W. Gerstenberg</w:t>
      </w:r>
    </w:p>
    <w:p>
      <w:pPr>
        <w:spacing w:after="0" w:line="51" w:lineRule="exact"/>
        <w:rPr>
          <w:sz w:val="20"/>
          <w:szCs w:val="20"/>
          <w:color w:val="auto"/>
        </w:rPr>
      </w:pPr>
    </w:p>
    <w:p>
      <w:pPr>
        <w:ind w:left="500"/>
        <w:spacing w:after="0"/>
        <w:tabs>
          <w:tab w:leader="none" w:pos="116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6"/>
          <w:szCs w:val="16"/>
          <w:color w:val="auto"/>
        </w:rPr>
        <w:t>Rule 13a-14a/15d-14(a) Certification of the CFO Eric J. Dugas</w:t>
      </w:r>
    </w:p>
    <w:p>
      <w:pPr>
        <w:spacing w:after="0" w:line="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32†</w:t>
        <w:tab/>
        <w:t>Section 1350 Certifications</w:t>
      </w:r>
    </w:p>
    <w:p>
      <w:pPr>
        <w:spacing w:after="0" w:line="51" w:lineRule="exact"/>
        <w:rPr>
          <w:sz w:val="20"/>
          <w:szCs w:val="20"/>
          <w:color w:val="auto"/>
        </w:rPr>
      </w:pPr>
    </w:p>
    <w:p>
      <w:pPr>
        <w:ind w:left="1180" w:right="100" w:hanging="453"/>
        <w:spacing w:after="0" w:line="237" w:lineRule="auto"/>
        <w:tabs>
          <w:tab w:leader="none" w:pos="11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Clawback Policy (Incorporated by reference to Exhibit 97 to the Company’s Form 10-K Annual Report for the Year ended December 31, 2023.)</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269"/>
        </w:trPr>
        <w:tc>
          <w:tcPr>
            <w:tcW w:w="940" w:type="dxa"/>
            <w:vAlign w:val="bottom"/>
          </w:tcPr>
          <w:p>
            <w:pPr>
              <w:jc w:val="right"/>
              <w:ind w:right="1"/>
              <w:spacing w:after="0"/>
              <w:rPr>
                <w:sz w:val="20"/>
                <w:szCs w:val="20"/>
                <w:color w:val="auto"/>
              </w:rPr>
            </w:pPr>
            <w:r>
              <w:rPr>
                <w:rFonts w:ascii="Arial" w:cs="Arial" w:eastAsia="Arial" w:hAnsi="Arial"/>
                <w:sz w:val="20"/>
                <w:szCs w:val="20"/>
                <w:color w:val="auto"/>
                <w:w w:val="88"/>
              </w:rPr>
              <w:t>101.SCH+</w:t>
            </w:r>
          </w:p>
        </w:tc>
        <w:tc>
          <w:tcPr>
            <w:tcW w:w="4480" w:type="dxa"/>
            <w:vAlign w:val="bottom"/>
          </w:tcPr>
          <w:p>
            <w:pPr>
              <w:ind w:left="120"/>
              <w:spacing w:after="0"/>
              <w:rPr>
                <w:sz w:val="20"/>
                <w:szCs w:val="20"/>
                <w:color w:val="auto"/>
              </w:rPr>
            </w:pPr>
            <w:r>
              <w:rPr>
                <w:rFonts w:ascii="Arial" w:cs="Arial" w:eastAsia="Arial" w:hAnsi="Arial"/>
                <w:sz w:val="20"/>
                <w:szCs w:val="20"/>
                <w:color w:val="auto"/>
                <w:w w:val="90"/>
              </w:rPr>
              <w:t>Inline XBRL Taxonomy Extension Schema Document.</w:t>
            </w:r>
          </w:p>
        </w:tc>
      </w:tr>
      <w:tr>
        <w:trPr>
          <w:trHeight w:val="296"/>
        </w:trPr>
        <w:tc>
          <w:tcPr>
            <w:tcW w:w="940" w:type="dxa"/>
            <w:vAlign w:val="bottom"/>
          </w:tcPr>
          <w:p>
            <w:pPr>
              <w:jc w:val="right"/>
              <w:ind w:right="1"/>
              <w:spacing w:after="0"/>
              <w:rPr>
                <w:sz w:val="20"/>
                <w:szCs w:val="20"/>
                <w:color w:val="auto"/>
              </w:rPr>
            </w:pPr>
            <w:r>
              <w:rPr>
                <w:rFonts w:ascii="Arial" w:cs="Arial" w:eastAsia="Arial" w:hAnsi="Arial"/>
                <w:sz w:val="20"/>
                <w:szCs w:val="20"/>
                <w:color w:val="auto"/>
              </w:rPr>
              <w:t>101.CAL</w:t>
            </w:r>
          </w:p>
        </w:tc>
        <w:tc>
          <w:tcPr>
            <w:tcW w:w="4480" w:type="dxa"/>
            <w:vAlign w:val="bottom"/>
          </w:tcPr>
          <w:p>
            <w:pPr>
              <w:ind w:left="120"/>
              <w:spacing w:after="0"/>
              <w:rPr>
                <w:sz w:val="20"/>
                <w:szCs w:val="20"/>
                <w:color w:val="auto"/>
              </w:rPr>
            </w:pPr>
            <w:r>
              <w:rPr>
                <w:rFonts w:ascii="Arial" w:cs="Arial" w:eastAsia="Arial" w:hAnsi="Arial"/>
                <w:sz w:val="20"/>
                <w:szCs w:val="20"/>
                <w:color w:val="auto"/>
                <w:w w:val="90"/>
              </w:rPr>
              <w:t>Inline XBRL Taxonomy Extension Schema Document.</w:t>
            </w:r>
          </w:p>
        </w:tc>
      </w:tr>
      <w:tr>
        <w:trPr>
          <w:trHeight w:val="310"/>
        </w:trPr>
        <w:tc>
          <w:tcPr>
            <w:tcW w:w="940" w:type="dxa"/>
            <w:vAlign w:val="bottom"/>
          </w:tcPr>
          <w:p>
            <w:pPr>
              <w:jc w:val="right"/>
              <w:ind w:right="1"/>
              <w:spacing w:after="0"/>
              <w:rPr>
                <w:sz w:val="20"/>
                <w:szCs w:val="20"/>
                <w:color w:val="auto"/>
              </w:rPr>
            </w:pPr>
            <w:r>
              <w:rPr>
                <w:rFonts w:ascii="Arial" w:cs="Arial" w:eastAsia="Arial" w:hAnsi="Arial"/>
                <w:sz w:val="20"/>
                <w:szCs w:val="20"/>
                <w:color w:val="auto"/>
              </w:rPr>
              <w:t>101.LAB</w:t>
            </w:r>
          </w:p>
        </w:tc>
        <w:tc>
          <w:tcPr>
            <w:tcW w:w="4480" w:type="dxa"/>
            <w:vAlign w:val="bottom"/>
          </w:tcPr>
          <w:p>
            <w:pPr>
              <w:ind w:left="120"/>
              <w:spacing w:after="0"/>
              <w:rPr>
                <w:sz w:val="20"/>
                <w:szCs w:val="20"/>
                <w:color w:val="auto"/>
              </w:rPr>
            </w:pPr>
            <w:r>
              <w:rPr>
                <w:rFonts w:ascii="Arial" w:cs="Arial" w:eastAsia="Arial" w:hAnsi="Arial"/>
                <w:sz w:val="20"/>
                <w:szCs w:val="20"/>
                <w:color w:val="auto"/>
                <w:w w:val="90"/>
              </w:rPr>
              <w:t>Inline XBRL Taxonomy Extension Schema Document.</w:t>
            </w:r>
          </w:p>
        </w:tc>
      </w:tr>
      <w:tr>
        <w:trPr>
          <w:trHeight w:val="310"/>
        </w:trPr>
        <w:tc>
          <w:tcPr>
            <w:tcW w:w="940" w:type="dxa"/>
            <w:vAlign w:val="bottom"/>
          </w:tcPr>
          <w:p>
            <w:pPr>
              <w:jc w:val="right"/>
              <w:ind w:right="1"/>
              <w:spacing w:after="0"/>
              <w:rPr>
                <w:sz w:val="20"/>
                <w:szCs w:val="20"/>
                <w:color w:val="auto"/>
              </w:rPr>
            </w:pPr>
            <w:r>
              <w:rPr>
                <w:rFonts w:ascii="Arial" w:cs="Arial" w:eastAsia="Arial" w:hAnsi="Arial"/>
                <w:sz w:val="20"/>
                <w:szCs w:val="20"/>
                <w:color w:val="auto"/>
                <w:w w:val="89"/>
              </w:rPr>
              <w:t>101.PRE+</w:t>
            </w:r>
          </w:p>
        </w:tc>
        <w:tc>
          <w:tcPr>
            <w:tcW w:w="4480" w:type="dxa"/>
            <w:vAlign w:val="bottom"/>
          </w:tcPr>
          <w:p>
            <w:pPr>
              <w:ind w:left="120"/>
              <w:spacing w:after="0"/>
              <w:rPr>
                <w:sz w:val="20"/>
                <w:szCs w:val="20"/>
                <w:color w:val="auto"/>
              </w:rPr>
            </w:pPr>
            <w:r>
              <w:rPr>
                <w:rFonts w:ascii="Arial" w:cs="Arial" w:eastAsia="Arial" w:hAnsi="Arial"/>
                <w:sz w:val="20"/>
                <w:szCs w:val="20"/>
                <w:color w:val="auto"/>
                <w:w w:val="90"/>
              </w:rPr>
              <w:t>Inline XBRL Taxonomy Extension Schema Document.</w:t>
            </w:r>
          </w:p>
        </w:tc>
      </w:tr>
      <w:tr>
        <w:trPr>
          <w:trHeight w:val="296"/>
        </w:trPr>
        <w:tc>
          <w:tcPr>
            <w:tcW w:w="940" w:type="dxa"/>
            <w:vAlign w:val="bottom"/>
          </w:tcPr>
          <w:p>
            <w:pPr>
              <w:jc w:val="right"/>
              <w:ind w:right="1"/>
              <w:spacing w:after="0"/>
              <w:rPr>
                <w:sz w:val="20"/>
                <w:szCs w:val="20"/>
                <w:color w:val="auto"/>
              </w:rPr>
            </w:pPr>
            <w:r>
              <w:rPr>
                <w:rFonts w:ascii="Arial" w:cs="Arial" w:eastAsia="Arial" w:hAnsi="Arial"/>
                <w:sz w:val="20"/>
                <w:szCs w:val="20"/>
                <w:color w:val="auto"/>
                <w:w w:val="90"/>
              </w:rPr>
              <w:t>101.DEF+</w:t>
            </w:r>
          </w:p>
        </w:tc>
        <w:tc>
          <w:tcPr>
            <w:tcW w:w="4480" w:type="dxa"/>
            <w:vAlign w:val="bottom"/>
          </w:tcPr>
          <w:p>
            <w:pPr>
              <w:ind w:left="120"/>
              <w:spacing w:after="0"/>
              <w:rPr>
                <w:sz w:val="20"/>
                <w:szCs w:val="20"/>
                <w:color w:val="auto"/>
              </w:rPr>
            </w:pPr>
            <w:r>
              <w:rPr>
                <w:rFonts w:ascii="Arial" w:cs="Arial" w:eastAsia="Arial" w:hAnsi="Arial"/>
                <w:sz w:val="20"/>
                <w:szCs w:val="20"/>
                <w:color w:val="auto"/>
                <w:w w:val="90"/>
              </w:rPr>
              <w:t>Inline XBRL Taxonomy Extension Schema Document.</w:t>
            </w:r>
          </w:p>
        </w:tc>
      </w:tr>
    </w:tbl>
    <w:p>
      <w:pPr>
        <w:spacing w:after="0" w:line="12" w:lineRule="exact"/>
        <w:rPr>
          <w:sz w:val="20"/>
          <w:szCs w:val="20"/>
          <w:color w:val="auto"/>
        </w:rPr>
      </w:pPr>
    </w:p>
    <w:p>
      <w:pPr>
        <w:ind w:left="1180" w:right="860" w:hanging="552"/>
        <w:spacing w:after="0" w:line="237" w:lineRule="auto"/>
        <w:tabs>
          <w:tab w:leader="none" w:pos="11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with applicable taxonomy extension information contained in Exhibit 101.*)</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w:t>
      </w:r>
    </w:p>
    <w:p>
      <w:pPr>
        <w:spacing w:after="0" w:line="164" w:lineRule="exact"/>
        <w:rPr>
          <w:sz w:val="20"/>
          <w:szCs w:val="20"/>
          <w:color w:val="auto"/>
        </w:rPr>
      </w:pPr>
    </w:p>
    <w:p>
      <w:pPr>
        <w:ind w:left="720" w:right="380" w:hanging="713"/>
        <w:spacing w:after="0" w:line="276"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“management contract or compensatory plan or arrangement” filed as an exhibit to this report pursuant to Item 15(a)(3) of Form 10-K.</w:t>
      </w:r>
    </w:p>
    <w:p>
      <w:pPr>
        <w:spacing w:after="0" w:line="101" w:lineRule="exact"/>
        <w:rPr>
          <w:sz w:val="20"/>
          <w:szCs w:val="20"/>
          <w:color w:val="auto"/>
        </w:rPr>
      </w:pPr>
    </w:p>
    <w:p>
      <w:pPr>
        <w:ind w:left="720" w:hanging="713"/>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164" w:lineRule="exact"/>
        <w:rPr>
          <w:sz w:val="20"/>
          <w:szCs w:val="20"/>
          <w:color w:val="auto"/>
        </w:rPr>
      </w:pPr>
    </w:p>
    <w:p>
      <w:pPr>
        <w:ind w:left="720" w:hanging="713"/>
        <w:spacing w:after="0"/>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Furnished herewith.</w:t>
      </w:r>
    </w:p>
    <w:p>
      <w:pPr>
        <w:sectPr>
          <w:pgSz w:w="11880" w:h="15480" w:orient="portrait"/>
          <w:cols w:equalWidth="0" w:num="1">
            <w:col w:w="10000"/>
          </w:cols>
          <w:pgMar w:left="880" w:top="62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10000"/>
          </w:cols>
          <w:pgMar w:left="880" w:top="626" w:right="1000" w:bottom="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10" w:name="page111"/>
    <w:bookmarkEnd w:id="110"/>
    <w:p>
      <w:pPr>
        <w:ind w:left="6460"/>
        <w:spacing w:after="0"/>
        <w:rPr>
          <w:sz w:val="20"/>
          <w:szCs w:val="20"/>
          <w:color w:val="auto"/>
        </w:rPr>
      </w:pPr>
      <w:r>
        <w:rPr>
          <w:rFonts w:ascii="Arial" w:cs="Arial" w:eastAsia="Arial" w:hAnsi="Arial"/>
          <w:sz w:val="27"/>
          <w:szCs w:val="27"/>
          <w:color w:val="333333"/>
        </w:rPr>
        <w:t>SHAREHOLDER INFORMATION</w:t>
      </w:r>
    </w:p>
    <w:p>
      <w:pPr>
        <w:sectPr>
          <w:pgSz w:w="11880" w:h="15480" w:orient="portrait"/>
          <w:cols w:equalWidth="0" w:num="1">
            <w:col w:w="10620"/>
          </w:cols>
          <w:pgMar w:left="720" w:top="677" w:right="540" w:bottom="4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4"/>
          <w:szCs w:val="24"/>
          <w:b w:val="1"/>
          <w:bCs w:val="1"/>
          <w:color w:val="C10014"/>
        </w:rPr>
        <w:t>COMMON STOCK</w:t>
      </w:r>
    </w:p>
    <w:p>
      <w:pPr>
        <w:spacing w:after="0" w:line="78" w:lineRule="exact"/>
        <w:rPr>
          <w:sz w:val="20"/>
          <w:szCs w:val="20"/>
          <w:color w:val="auto"/>
        </w:rPr>
      </w:pPr>
    </w:p>
    <w:p>
      <w:pPr>
        <w:ind w:right="220"/>
        <w:spacing w:after="0" w:line="252" w:lineRule="auto"/>
        <w:rPr>
          <w:sz w:val="20"/>
          <w:szCs w:val="20"/>
          <w:color w:val="auto"/>
        </w:rPr>
      </w:pPr>
      <w:r>
        <w:rPr>
          <w:rFonts w:ascii="Arial" w:cs="Arial" w:eastAsia="Arial" w:hAnsi="Arial"/>
          <w:sz w:val="20"/>
          <w:szCs w:val="20"/>
          <w:color w:val="333333"/>
        </w:rPr>
        <w:t>Our common stock trades on the New York Stock Exchange (NYSE) under the symbol CLH. On February 12, 2025, there were 215 stockholders of record of our common stock, excluding stockholders whose shares were held in nominee, or “street name” accounts through brokers or banks. On our last record date, more than 126,000 additional stockholders beneficially held shares in street name accounts.</w:t>
      </w:r>
    </w:p>
    <w:p>
      <w:pPr>
        <w:spacing w:after="0" w:line="111" w:lineRule="exact"/>
        <w:rPr>
          <w:sz w:val="20"/>
          <w:szCs w:val="20"/>
          <w:color w:val="auto"/>
        </w:rPr>
      </w:pPr>
    </w:p>
    <w:p>
      <w:pPr>
        <w:ind w:right="200"/>
        <w:spacing w:after="0" w:line="251" w:lineRule="auto"/>
        <w:rPr>
          <w:sz w:val="20"/>
          <w:szCs w:val="20"/>
          <w:color w:val="auto"/>
        </w:rPr>
      </w:pPr>
      <w:r>
        <w:rPr>
          <w:rFonts w:ascii="Arial" w:cs="Arial" w:eastAsia="Arial" w:hAnsi="Arial"/>
          <w:sz w:val="20"/>
          <w:szCs w:val="20"/>
          <w:color w:val="333333"/>
        </w:rPr>
        <w:t>We have never declared nor paid any cash dividends on our common stock, and we do not intend to pay any dividends on our common stock in the foreseeable future. We intend to retain our future earnings, if any, for use in the operation and expansion of our business, payment of our outstanding debt and for our stock repurchase program. In addition, our current revolving credit agreement and the indentures and loan agreement governing our other outstanding debt limit the amount we could pay as cash dividends on or for repurchase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4041775" cy="21399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0">
                      <a:extLst>
                        <a:ext uri="{28A0092B-C50C-407E-A947-70E740481C1C}"/>
                      </a:extLst>
                    </a:blip>
                    <a:srcRect/>
                    <a:stretch>
                      <a:fillRect/>
                    </a:stretch>
                  </pic:blipFill>
                  <pic:spPr bwMode="auto">
                    <a:xfrm>
                      <a:off x="0" y="0"/>
                      <a:ext cx="4041775" cy="213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4"/>
          <w:szCs w:val="24"/>
          <w:b w:val="1"/>
          <w:bCs w:val="1"/>
          <w:color w:val="C10014"/>
        </w:rPr>
        <w:t>SAFE HARBOR STATEMENT</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5"/>
          <w:szCs w:val="15"/>
          <w:color w:val="333333"/>
        </w:rPr>
        <w:t>Any statements contained herein that are not historical facts are forward-looking statements within the meaning of the Private Securities Litigation Reform Act of 1995. These forward-looking statements are generally identifiable by use of the words “believes,” “expects,” “intends,” “anticipates,” “plans to,” “seeks,” “will,” “should,” “estimates,” “projects,” “may,” “likely,” “potential,” “outlook” or similar expressions. Such statements may include, but are not limited to, statements about the Company’s future financial and operating results, plans, strategy, objectives and goals, cost management initiatives, pricing and productivity initiatives, contingent liabilities, liquidity, business and market conditions, trends, customer demand, acquisitions, growth opportunities, expectations, challenges and other statements that are not historical facts. Such statements are based upon the beliefs and expectations of Clean Harbors’ management as of this date only and are subject to certain risks and uncertainties that could cause actual results to differ materially, including, without limitation, those items identified as “Risk Factors” in Clean Harbors’ most recently filed reports on Form 10-K and Form 10-Q. Forward-looking statements are neither historical facts nor assurances of future performance. Therefore, readers are cautioned not to place undue reliance on these forward-looking statements. Clean Harbors undertakes no obligation to revise or publicly release the results of any revision to these forward-looking statements other than through its filings with the Securities and Exchange Commission, which may be viewed in the “Investors” section of Clean Harbors’ website at www. cleanharbors.com.</w:t>
      </w:r>
    </w:p>
    <w:p>
      <w:pPr>
        <w:spacing w:after="0" w:line="183"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i w:val="1"/>
          <w:iCs w:val="1"/>
          <w:color w:val="333333"/>
        </w:rPr>
        <w:t>Clean Harbors is an equal-opportunity employer. We do not discriminate against applicants due to race, ancestry, color, sex, sexual orientation, gender identity, national origin, religion, age, physical or mental disability, veteran status, or on the basis of any other federal, state/provincial, or local protected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-123190</wp:posOffset>
                </wp:positionH>
                <wp:positionV relativeFrom="paragraph">
                  <wp:posOffset>-363855</wp:posOffset>
                </wp:positionV>
                <wp:extent cx="2247265" cy="811466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47265" cy="8114665"/>
                        </a:xfrm>
                        <a:prstGeom prst="rect">
                          <a:avLst/>
                        </a:prstGeom>
                        <a:solidFill>
                          <a:srgbClr val="C10014"/>
                        </a:solidFill>
                      </wps:spPr>
                      <wps:bodyPr/>
                    </wps:wsp>
                  </a:graphicData>
                </a:graphic>
              </wp:anchor>
            </w:drawing>
          </mc:Choice>
          <mc:Fallback>
            <w:pict>
              <v:rect id="Shape 132" o:spid="_x0000_s1157" style="position:absolute;margin-left:-9.6999pt;margin-top:-28.6499pt;width:176.95pt;height:63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10014" stroked="f"/>
            </w:pict>
          </mc:Fallback>
        </mc:AlternateContent>
      </w:r>
    </w:p>
    <w:p>
      <w:pPr>
        <w:ind w:right="320"/>
        <w:spacing w:after="0" w:line="302" w:lineRule="auto"/>
        <w:rPr>
          <w:sz w:val="20"/>
          <w:szCs w:val="20"/>
          <w:color w:val="auto"/>
        </w:rPr>
      </w:pPr>
      <w:r>
        <w:rPr>
          <w:rFonts w:ascii="Arial" w:cs="Arial" w:eastAsia="Arial" w:hAnsi="Arial"/>
          <w:sz w:val="17"/>
          <w:szCs w:val="17"/>
          <w:color w:val="FFFFFF"/>
        </w:rPr>
        <w:t>Copies of the Company’s Annual Report on Form 10-K for the year ended December 31, 2024, filed with the Securities and Exchange Commission on February 19, 2025, may be obtained without charge online at www.cleanharbors.com, or by writing to our corporate headquarters: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FFFFFF"/>
        </w:rPr>
        <w:t>42 Longwater Drive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P.O. Box 9149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Norwell, MA 02061-9149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Attention: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781.792.5100</w:t>
      </w:r>
    </w:p>
    <w:p>
      <w:pPr>
        <w:spacing w:after="0" w:line="250" w:lineRule="exact"/>
        <w:rPr>
          <w:sz w:val="20"/>
          <w:szCs w:val="20"/>
          <w:color w:val="auto"/>
        </w:rPr>
      </w:pPr>
    </w:p>
    <w:p>
      <w:pPr>
        <w:ind w:right="800"/>
        <w:spacing w:after="0" w:line="250" w:lineRule="auto"/>
        <w:rPr>
          <w:sz w:val="20"/>
          <w:szCs w:val="20"/>
          <w:color w:val="auto"/>
        </w:rPr>
      </w:pPr>
      <w:r>
        <w:rPr>
          <w:rFonts w:ascii="Arial" w:cs="Arial" w:eastAsia="Arial" w:hAnsi="Arial"/>
          <w:sz w:val="20"/>
          <w:szCs w:val="20"/>
          <w:b w:val="1"/>
          <w:bCs w:val="1"/>
          <w:color w:val="FFFFFF"/>
        </w:rPr>
        <w:t xml:space="preserve">Annual Shareholders Meeting </w:t>
      </w:r>
      <w:r>
        <w:rPr>
          <w:rFonts w:ascii="Arial" w:cs="Arial" w:eastAsia="Arial" w:hAnsi="Arial"/>
          <w:sz w:val="20"/>
          <w:szCs w:val="20"/>
          <w:color w:val="FFFFFF"/>
        </w:rPr>
        <w:t>Wednesday, May 21, 2025 10:00 a.m. EDT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FFFF"/>
        </w:rPr>
        <w:t>Clean Harbors Training Facility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101 Philip Drive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Norwell, MA 02061-9149</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Auditors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Deloitte &amp; Touche LLP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115 Federal Street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Boston, MA 02110</w:t>
      </w:r>
    </w:p>
    <w:p>
      <w:pPr>
        <w:spacing w:after="0" w:line="250" w:lineRule="exact"/>
        <w:rPr>
          <w:sz w:val="20"/>
          <w:szCs w:val="20"/>
          <w:color w:val="auto"/>
        </w:rPr>
      </w:pPr>
    </w:p>
    <w:p>
      <w:pPr>
        <w:ind w:right="840"/>
        <w:spacing w:after="0" w:line="297" w:lineRule="auto"/>
        <w:rPr>
          <w:sz w:val="20"/>
          <w:szCs w:val="20"/>
          <w:color w:val="auto"/>
        </w:rPr>
      </w:pPr>
      <w:r>
        <w:rPr>
          <w:rFonts w:ascii="Arial" w:cs="Arial" w:eastAsia="Arial" w:hAnsi="Arial"/>
          <w:sz w:val="18"/>
          <w:szCs w:val="18"/>
          <w:b w:val="1"/>
          <w:bCs w:val="1"/>
          <w:color w:val="FFFFFF"/>
        </w:rPr>
        <w:t xml:space="preserve">Secretary of the Corporation </w:t>
      </w:r>
      <w:r>
        <w:rPr>
          <w:rFonts w:ascii="Arial" w:cs="Arial" w:eastAsia="Arial" w:hAnsi="Arial"/>
          <w:sz w:val="18"/>
          <w:szCs w:val="18"/>
          <w:color w:val="FFFFFF"/>
        </w:rPr>
        <w:t>Lisa R. Haddad, Esq. Goodwin Procter LLP</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Corporate Counsel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Goodwin Procter LLP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100 Northern Avenue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Boston, MA 02210</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Transfer Agent</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FFFFFF"/>
        </w:rPr>
        <w:t>Equiniti Trust Company, LLC (“EQ”)</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FFFFFF"/>
        </w:rPr>
        <w:t>48 Wall Street, Floor 23</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New York, NY 10005</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800.937.5449</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Corporate Headquarters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42 Longwater Drive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P.O. Box 9149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Norwell, MA 02061-9149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781.792.5000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FFFFFF"/>
        </w:rPr>
        <w:t>www.cleanharbors.com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655955</wp:posOffset>
            </wp:positionV>
            <wp:extent cx="775970" cy="2584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1">
                      <a:extLst>
                        <a:ext uri="{28A0092B-C50C-407E-A947-70E740481C1C}"/>
                      </a:extLst>
                    </a:blip>
                    <a:srcRect/>
                    <a:stretch>
                      <a:fillRect/>
                    </a:stretch>
                  </pic:blipFill>
                  <pic:spPr bwMode="auto">
                    <a:xfrm>
                      <a:off x="0" y="0"/>
                      <a:ext cx="775970" cy="258445"/>
                    </a:xfrm>
                    <a:prstGeom prst="rect">
                      <a:avLst/>
                    </a:prstGeom>
                    <a:noFill/>
                  </pic:spPr>
                </pic:pic>
              </a:graphicData>
            </a:graphic>
          </wp:anchor>
        </w:drawing>
      </w:r>
    </w:p>
    <w:p>
      <w:pPr>
        <w:sectPr>
          <w:pgSz w:w="11880" w:h="15480" w:orient="portrait"/>
          <w:cols w:equalWidth="0" w:num="2">
            <w:col w:w="6620" w:space="660"/>
            <w:col w:w="3340"/>
          </w:cols>
          <w:pgMar w:left="720" w:top="677" w:right="540" w:bottom="402" w:gutter="0" w:footer="0" w:header="0"/>
          <w:type w:val="continuous"/>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FFFFFF"/>
        </w:rPr>
        <w:t>CLEAN HARBORS, INC.</w:t>
      </w:r>
    </w:p>
    <w:p>
      <w:pPr>
        <w:sectPr>
          <w:pgSz w:w="11880" w:h="15480" w:orient="portrait"/>
          <w:cols w:equalWidth="0" w:num="1">
            <w:col w:w="9000"/>
          </w:cols>
          <w:pgMar w:left="1440" w:top="1440"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FFFFFF"/>
        </w:rPr>
        <w:t>42 Longwater Drive, P.O. Box 9149</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24"/>
          <w:szCs w:val="24"/>
          <w:color w:val="FFFFFF"/>
        </w:rPr>
        <w:t>Norwell, MA 02061-9149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24"/>
          <w:szCs w:val="24"/>
          <w:color w:val="FFFFFF"/>
        </w:rPr>
        <w:t>781.792.5000</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8"/>
          <w:szCs w:val="28"/>
          <w:b w:val="1"/>
          <w:bCs w:val="1"/>
          <w:color w:val="FFFFFF"/>
        </w:rPr>
        <w:t>www.cleanharbors.com</w:t>
      </w:r>
    </w:p>
    <w:sectPr>
      <w:pgSz w:w="11880" w:h="15480" w:orient="portrait"/>
      <w:cols w:equalWidth="0" w:num="1">
        <w:col w:w="9000"/>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4"/>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lowerRoman"/>
      <w:start w:val="3"/>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lvl w:ilvl="1">
      <w:lvlJc w:val="left"/>
      <w:lvlText w:val="\endash "/>
      <w:numFmt w:val="bullet"/>
      <w:start w:val="1"/>
    </w:lvl>
  </w:abstractNum>
  <w:abstractNum w:abstractNumId="20">
    <w:nsid w:val="8138641"/>
    <w:multiLevelType w:val="hybridMultilevel"/>
    <w:lvl w:ilvl="0">
      <w:lvlJc w:val="left"/>
      <w:lvlText w:val="(%1)"/>
      <w:numFmt w:val="lowerRoman"/>
      <w:start w:val="2"/>
    </w:lvl>
  </w:abstractNum>
  <w:abstractNum w:abstractNumId="21">
    <w:nsid w:val="1E7FF521"/>
    <w:multiLevelType w:val="hybridMultilevel"/>
    <w:lvl w:ilvl="0">
      <w:lvlJc w:val="left"/>
      <w:lvlText w:val="(%1)"/>
      <w:numFmt w:val="decimal"/>
      <w:start w:val="4"/>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2"/>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7"/>
    </w:lvl>
  </w:abstractNum>
  <w:abstractNum w:abstractNumId="29">
    <w:nsid w:val="419AC241"/>
    <w:multiLevelType w:val="hybridMultilevel"/>
    <w:lvl w:ilvl="0">
      <w:lvlJc w:val="left"/>
      <w:lvlText w:val="(%1)"/>
      <w:numFmt w:val="lowerRoman"/>
      <w:start w:val="2"/>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2"/>
    </w:lvl>
  </w:abstractNum>
  <w:abstractNum w:abstractNumId="33">
    <w:nsid w:val="3804823E"/>
    <w:multiLevelType w:val="hybridMultilevel"/>
    <w:lvl w:ilvl="0">
      <w:lvlJc w:val="left"/>
      <w:lvlText w:val="%1"/>
      <w:numFmt w:val="decimal"/>
      <w:start w:val="19"/>
    </w:lvl>
  </w:abstractNum>
  <w:abstractNum w:abstractNumId="34">
    <w:nsid w:val="77465F01"/>
    <w:multiLevelType w:val="hybridMultilevel"/>
    <w:lvl w:ilvl="0">
      <w:lvlJc w:val="left"/>
      <w:lvlText w:val="%1"/>
      <w:numFmt w:val="decimal"/>
      <w:start w:val="97"/>
    </w:lvl>
  </w:abstractNum>
  <w:abstractNum w:abstractNumId="35">
    <w:nsid w:val="7724C67E"/>
    <w:multiLevelType w:val="hybridMultilevel"/>
    <w:lvl w:ilvl="0">
      <w:lvlJc w:val="left"/>
      <w:lvlText w:val="%1"/>
      <w:numFmt w:val="decimal"/>
      <w:start w:val="104"/>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2025-04-16T20:55:13Z</dcterms:created>
  <dcterms:modified xsi:type="dcterms:W3CDTF">2025-04-16T20:55:13Z</dcterms:modified>
</cp:coreProperties>
</file>