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Geer Charles H. 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Industrial Services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240.71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Payment of tax liability by withholding of securities incident to vesting of securities in accordance with Rule 16b3.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H. Geer II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909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2025-12-17T07:24:36Z</dcterms:created>
  <dcterms:modified xsi:type="dcterms:W3CDTF">2025-12-17T07:24:36Z</dcterms:modified>
</cp:coreProperties>
</file>